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FE3BC4" w:rsidRDefault="00000000">
      <w:pPr>
        <w:jc w:val="center"/>
        <w:rPr>
          <w:rFonts w:ascii="黑体" w:eastAsia="黑体" w:hAnsi="黑体" w:hint="eastAsia"/>
          <w:b/>
          <w:bCs/>
          <w:sz w:val="28"/>
          <w:szCs w:val="32"/>
        </w:rPr>
      </w:pPr>
      <w:r>
        <w:rPr>
          <w:rFonts w:ascii="黑体" w:eastAsia="黑体" w:hAnsi="黑体" w:hint="eastAsia"/>
          <w:b/>
          <w:bCs/>
          <w:sz w:val="28"/>
          <w:szCs w:val="32"/>
        </w:rPr>
        <w:t>光纤线路技术服务采购需求</w:t>
      </w:r>
    </w:p>
    <w:p w14:paraId="65B03A48" w14:textId="77777777" w:rsidR="00FE3BC4"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FE3BC4" w:rsidRDefault="00000000">
      <w:pPr>
        <w:spacing w:line="360" w:lineRule="auto"/>
        <w:rPr>
          <w:rFonts w:ascii="仿宋" w:eastAsia="仿宋" w:hAnsi="仿宋" w:hint="eastAsia"/>
          <w:b/>
          <w:bCs/>
          <w:color w:val="000000" w:themeColor="text1"/>
          <w:sz w:val="24"/>
          <w:szCs w:val="28"/>
        </w:rPr>
      </w:pPr>
      <w:r>
        <w:rPr>
          <w:rFonts w:ascii="仿宋" w:eastAsia="仿宋" w:hAnsi="仿宋" w:hint="eastAsia"/>
          <w:b/>
          <w:bCs/>
          <w:sz w:val="24"/>
          <w:szCs w:val="28"/>
        </w:rPr>
        <w:t>一、</w:t>
      </w:r>
      <w:r>
        <w:rPr>
          <w:rFonts w:ascii="仿宋" w:eastAsia="仿宋" w:hAnsi="仿宋" w:hint="eastAsia"/>
          <w:b/>
          <w:bCs/>
          <w:color w:val="000000" w:themeColor="text1"/>
          <w:sz w:val="24"/>
          <w:szCs w:val="28"/>
        </w:rPr>
        <w:t>项目名称</w:t>
      </w:r>
    </w:p>
    <w:p w14:paraId="6DDD7E88" w14:textId="77777777" w:rsidR="00FE3BC4" w:rsidRDefault="00000000">
      <w:pPr>
        <w:spacing w:line="360" w:lineRule="auto"/>
        <w:rPr>
          <w:rFonts w:eastAsia="仿宋" w:hint="eastAsia"/>
          <w:sz w:val="24"/>
          <w:szCs w:val="24"/>
        </w:rPr>
      </w:pPr>
      <w:r>
        <w:rPr>
          <w:rFonts w:ascii="仿宋" w:eastAsia="仿宋" w:hAnsi="仿宋" w:hint="eastAsia"/>
          <w:sz w:val="24"/>
          <w:szCs w:val="28"/>
        </w:rPr>
        <w:t>光纤线路技术服务</w:t>
      </w:r>
      <w:r>
        <w:rPr>
          <w:rFonts w:eastAsia="仿宋" w:hint="eastAsia"/>
          <w:sz w:val="24"/>
          <w:szCs w:val="24"/>
        </w:rPr>
        <w:t>项目</w:t>
      </w:r>
    </w:p>
    <w:p w14:paraId="5D1C5DC4" w14:textId="77777777" w:rsidR="00FE3BC4"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62181263"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59600元人民币（大写：伍万玖仟陆佰圆整）</w:t>
      </w:r>
    </w:p>
    <w:p w14:paraId="303E89D6" w14:textId="77777777" w:rsidR="00FE3BC4"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FE3BC4"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239CCB8"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1.服务内容：</w:t>
      </w:r>
    </w:p>
    <w:p w14:paraId="367BFA1C" w14:textId="77777777" w:rsidR="00FE3BC4"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为实现学校徐汇校区和闵行校区之间校园网互联互通（连接里程：19公里），需要租赁合格供应商提供的G652光纤2芯裸光纤连接服务。</w:t>
      </w:r>
    </w:p>
    <w:p w14:paraId="73805350"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具体要求：</w:t>
      </w:r>
    </w:p>
    <w:p w14:paraId="45CFF7A5"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（1）提供“裸光纤线路”服务，连接徐汇校区（百色支路35号）中心机房到闵行校区（</w:t>
      </w:r>
      <w:proofErr w:type="gramStart"/>
      <w:r>
        <w:rPr>
          <w:rFonts w:ascii="仿宋" w:eastAsia="仿宋" w:hAnsi="仿宋" w:hint="eastAsia"/>
          <w:sz w:val="24"/>
          <w:szCs w:val="28"/>
        </w:rPr>
        <w:t>吴河路</w:t>
      </w:r>
      <w:proofErr w:type="gramEnd"/>
      <w:r>
        <w:rPr>
          <w:rFonts w:ascii="仿宋" w:eastAsia="仿宋" w:hAnsi="仿宋" w:hint="eastAsia"/>
          <w:sz w:val="24"/>
          <w:szCs w:val="28"/>
        </w:rPr>
        <w:t>288号）中心机房。</w:t>
      </w:r>
    </w:p>
    <w:p w14:paraId="5FB5740B"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（2）实现连接互联网公网、教科网等网络出口和校园内网的互联互通。</w:t>
      </w:r>
    </w:p>
    <w:p w14:paraId="78837631"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（3）提供运行维护服务裸光纤线路服务说明：合格供应商以光纤芯数为单位给学校提供服务，学校可以利用裸光纤以独享方式实现点对点连接，并组成不同容</w:t>
      </w:r>
      <w:r>
        <w:rPr>
          <w:rFonts w:ascii="仿宋" w:eastAsia="仿宋" w:hAnsi="仿宋" w:hint="eastAsia"/>
          <w:sz w:val="24"/>
          <w:szCs w:val="28"/>
        </w:rPr>
        <w:lastRenderedPageBreak/>
        <w:t>量的通信传输系统。</w:t>
      </w:r>
    </w:p>
    <w:p w14:paraId="6D6EE4A5" w14:textId="77777777" w:rsidR="00FE3BC4" w:rsidRDefault="00000000">
      <w:pPr>
        <w:spacing w:line="360" w:lineRule="auto"/>
        <w:rPr>
          <w:rFonts w:ascii="仿宋" w:eastAsia="仿宋" w:hAnsi="仿宋" w:hint="eastAsia"/>
          <w:color w:val="EE0000"/>
          <w:sz w:val="24"/>
          <w:szCs w:val="28"/>
        </w:rPr>
      </w:pPr>
      <w:r>
        <w:rPr>
          <w:rFonts w:ascii="仿宋" w:eastAsia="仿宋" w:hAnsi="仿宋" w:hint="eastAsia"/>
          <w:sz w:val="24"/>
          <w:szCs w:val="28"/>
        </w:rPr>
        <w:t>2.项目质量：保证学校徐汇校区和闵行校区之间院区间互联互通。</w:t>
      </w:r>
    </w:p>
    <w:p w14:paraId="50C8E6FF" w14:textId="77777777" w:rsidR="00FE3BC4" w:rsidRDefault="00000000">
      <w:pPr>
        <w:spacing w:line="360" w:lineRule="auto"/>
        <w:rPr>
          <w:rFonts w:ascii="仿宋" w:eastAsia="仿宋" w:hAnsi="仿宋" w:hint="eastAsia"/>
          <w:color w:val="000000" w:themeColor="text1"/>
          <w:sz w:val="24"/>
          <w:szCs w:val="28"/>
        </w:rPr>
      </w:pPr>
      <w:r>
        <w:rPr>
          <w:rFonts w:ascii="仿宋" w:eastAsia="仿宋" w:hAnsi="仿宋" w:hint="eastAsia"/>
          <w:color w:val="000000" w:themeColor="text1"/>
          <w:sz w:val="24"/>
          <w:szCs w:val="28"/>
        </w:rPr>
        <w:t>3.项目服务要求：</w:t>
      </w:r>
      <w:r>
        <w:rPr>
          <w:rFonts w:ascii="仿宋" w:eastAsia="仿宋" w:hAnsi="仿宋" w:hint="eastAsia"/>
          <w:sz w:val="24"/>
          <w:szCs w:val="28"/>
        </w:rPr>
        <w:t>供应商应对整个线路服务质量负责，及时、按时做到保障学校两个校区网络互联互通对网络专线的巡检与运维工作，并按规定采取故障处置措施。在线路开通后，如发生任何通信故障，供应商有责任和义务在4小时内修复，保障学校租用线路畅通运行。</w:t>
      </w:r>
      <w:r>
        <w:rPr>
          <w:rFonts w:ascii="仿宋" w:eastAsia="仿宋" w:hAnsi="仿宋" w:hint="eastAsia"/>
          <w:color w:val="000000" w:themeColor="text1"/>
          <w:sz w:val="24"/>
          <w:szCs w:val="28"/>
        </w:rPr>
        <w:t>综合人员配置情况合理，项目处置需在1小时内到现场，4小时内解决问题。</w:t>
      </w:r>
    </w:p>
    <w:p w14:paraId="55AFDF25" w14:textId="77777777" w:rsidR="00FE3BC4"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4CF69E4D"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 自合同签订之日起至2026年12月31日前；服务地点:上海市工商外国语学校</w:t>
      </w:r>
    </w:p>
    <w:p w14:paraId="7AFBFA4B"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2、付款方式:</w:t>
      </w:r>
    </w:p>
    <w:p w14:paraId="062312F4" w14:textId="77777777" w:rsidR="00FE3BC4" w:rsidRDefault="00000000">
      <w:pPr>
        <w:spacing w:line="360" w:lineRule="auto"/>
        <w:ind w:firstLineChars="100" w:firstLine="240"/>
        <w:rPr>
          <w:rFonts w:ascii="仿宋" w:eastAsia="仿宋" w:hAnsi="仿宋" w:hint="eastAsia"/>
          <w:sz w:val="24"/>
          <w:szCs w:val="28"/>
        </w:rPr>
      </w:pPr>
      <w:r>
        <w:rPr>
          <w:rFonts w:ascii="仿宋" w:eastAsia="仿宋" w:hAnsi="仿宋" w:hint="eastAsia"/>
          <w:sz w:val="24"/>
          <w:szCs w:val="28"/>
        </w:rPr>
        <w:t>2026年11月15日前，一次性付款。</w:t>
      </w:r>
    </w:p>
    <w:p w14:paraId="21BE7C1B"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3、验收要求或评价标准:</w:t>
      </w:r>
    </w:p>
    <w:p w14:paraId="7409C02A"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（1）项目测试报告</w:t>
      </w:r>
    </w:p>
    <w:p w14:paraId="5E4FDD18"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（2）巡检记录</w:t>
      </w:r>
    </w:p>
    <w:p w14:paraId="08682E49"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（3）使用情况报告</w:t>
      </w:r>
    </w:p>
    <w:p w14:paraId="6E8E91DC" w14:textId="77777777" w:rsidR="00FE3BC4"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FE3BC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FE3BC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FE3BC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FE3BC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FE3BC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lastRenderedPageBreak/>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FE3BC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FE3BC4" w:rsidRDefault="00000000">
      <w:pPr>
        <w:spacing w:line="440" w:lineRule="exact"/>
        <w:rPr>
          <w:rFonts w:hint="eastAsia"/>
          <w:sz w:val="24"/>
          <w:szCs w:val="28"/>
        </w:rPr>
      </w:pPr>
      <w:bookmarkStart w:id="0" w:name="OLE_LINK7"/>
      <w:r>
        <w:rPr>
          <w:rFonts w:hint="eastAsia"/>
          <w:sz w:val="24"/>
          <w:szCs w:val="28"/>
        </w:rPr>
        <w:lastRenderedPageBreak/>
        <w:t>附件</w:t>
      </w:r>
      <w:r>
        <w:rPr>
          <w:sz w:val="24"/>
          <w:szCs w:val="28"/>
        </w:rPr>
        <w:t>1</w:t>
      </w:r>
    </w:p>
    <w:p w14:paraId="4277A63D" w14:textId="77777777" w:rsidR="00FE3BC4"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FE3BC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FE3BC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FE3BC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FE3BC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FE3BC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FE3BC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FE3BC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FE3BC4"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FE3BC4"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FE3BC4" w:rsidRDefault="00FE3BC4">
      <w:pPr>
        <w:spacing w:line="440" w:lineRule="exact"/>
        <w:rPr>
          <w:rFonts w:ascii="仿宋" w:eastAsia="仿宋" w:hAnsi="仿宋" w:hint="eastAsia"/>
          <w:sz w:val="24"/>
          <w:szCs w:val="28"/>
        </w:rPr>
      </w:pPr>
    </w:p>
    <w:p w14:paraId="0F3B6208" w14:textId="77777777" w:rsidR="00FE3BC4"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FE3BC4"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FE3BC4" w:rsidRDefault="00FE3BC4">
      <w:pPr>
        <w:spacing w:line="440" w:lineRule="exact"/>
        <w:rPr>
          <w:rFonts w:hint="eastAsia"/>
          <w:b/>
          <w:sz w:val="24"/>
          <w:szCs w:val="28"/>
        </w:rPr>
      </w:pPr>
    </w:p>
    <w:p w14:paraId="459B5343" w14:textId="77777777" w:rsidR="00FE3BC4" w:rsidRDefault="00000000">
      <w:pPr>
        <w:spacing w:line="440" w:lineRule="exact"/>
        <w:jc w:val="center"/>
        <w:rPr>
          <w:rFonts w:hint="eastAsia"/>
          <w:b/>
          <w:sz w:val="24"/>
          <w:szCs w:val="28"/>
        </w:rPr>
      </w:pPr>
      <w:r>
        <w:rPr>
          <w:rFonts w:hint="eastAsia"/>
          <w:b/>
          <w:sz w:val="24"/>
          <w:szCs w:val="28"/>
        </w:rPr>
        <w:t>报价单</w:t>
      </w:r>
    </w:p>
    <w:p w14:paraId="72D6076E"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FE3BC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FE3BC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FE3BC4" w:rsidRDefault="00FE3BC4">
      <w:pPr>
        <w:spacing w:line="440" w:lineRule="exact"/>
        <w:rPr>
          <w:rFonts w:ascii="仿宋" w:eastAsia="仿宋" w:hAnsi="仿宋" w:hint="eastAsia"/>
          <w:sz w:val="24"/>
          <w:szCs w:val="28"/>
        </w:rPr>
      </w:pPr>
    </w:p>
    <w:p w14:paraId="00E8E0CF"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FE3BC4" w:rsidRDefault="00FE3BC4">
      <w:pPr>
        <w:spacing w:line="440" w:lineRule="exact"/>
        <w:rPr>
          <w:rFonts w:ascii="仿宋" w:eastAsia="仿宋" w:hAnsi="仿宋" w:hint="eastAsia"/>
          <w:sz w:val="24"/>
          <w:szCs w:val="28"/>
        </w:rPr>
      </w:pPr>
    </w:p>
    <w:p w14:paraId="1EE28F87" w14:textId="77777777" w:rsidR="00FE3BC4" w:rsidRDefault="00FE3BC4">
      <w:pPr>
        <w:spacing w:line="440" w:lineRule="exact"/>
        <w:rPr>
          <w:rFonts w:ascii="仿宋" w:eastAsia="仿宋" w:hAnsi="仿宋" w:hint="eastAsia"/>
          <w:sz w:val="24"/>
          <w:szCs w:val="28"/>
        </w:rPr>
      </w:pPr>
    </w:p>
    <w:p w14:paraId="74A8DFA5" w14:textId="77777777" w:rsidR="00FE3BC4" w:rsidRDefault="00FE3BC4">
      <w:pPr>
        <w:spacing w:line="440" w:lineRule="exact"/>
        <w:rPr>
          <w:rFonts w:ascii="仿宋" w:eastAsia="仿宋" w:hAnsi="仿宋" w:hint="eastAsia"/>
          <w:sz w:val="24"/>
          <w:szCs w:val="28"/>
        </w:rPr>
      </w:pPr>
    </w:p>
    <w:p w14:paraId="0D98A03A" w14:textId="77777777" w:rsidR="00FE3BC4" w:rsidRDefault="00FE3BC4">
      <w:pPr>
        <w:spacing w:line="440" w:lineRule="exact"/>
        <w:rPr>
          <w:rFonts w:ascii="仿宋" w:eastAsia="仿宋" w:hAnsi="仿宋" w:hint="eastAsia"/>
          <w:sz w:val="24"/>
          <w:szCs w:val="28"/>
        </w:rPr>
      </w:pPr>
    </w:p>
    <w:p w14:paraId="3347781C"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FE3BC4"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FE3BC4" w:rsidRDefault="00FE3BC4">
      <w:pPr>
        <w:spacing w:line="440" w:lineRule="exact"/>
        <w:rPr>
          <w:rFonts w:ascii="仿宋" w:eastAsia="仿宋" w:hAnsi="仿宋" w:hint="eastAsia"/>
          <w:sz w:val="24"/>
          <w:szCs w:val="28"/>
        </w:rPr>
      </w:pPr>
    </w:p>
    <w:p w14:paraId="0CC11826" w14:textId="77777777" w:rsidR="00FE3BC4"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FE3BC4"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FE3BC4" w:rsidRDefault="00FE3BC4">
      <w:pPr>
        <w:spacing w:line="440" w:lineRule="exact"/>
        <w:rPr>
          <w:rFonts w:hint="eastAsia"/>
          <w:b/>
          <w:bCs/>
          <w:sz w:val="24"/>
          <w:szCs w:val="28"/>
        </w:rPr>
      </w:pPr>
    </w:p>
    <w:p w14:paraId="424A3E08" w14:textId="77777777" w:rsidR="00FE3BC4"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FE3BC4" w:rsidRDefault="00FE3BC4">
      <w:pPr>
        <w:spacing w:line="440" w:lineRule="exact"/>
        <w:rPr>
          <w:rFonts w:hint="eastAsia"/>
          <w:b/>
          <w:bCs/>
          <w:sz w:val="24"/>
          <w:szCs w:val="28"/>
        </w:rPr>
      </w:pPr>
    </w:p>
    <w:p w14:paraId="239DD53E" w14:textId="77777777" w:rsidR="00FE3BC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FE3BC4" w:rsidRDefault="00FE3BC4">
      <w:pPr>
        <w:spacing w:line="440" w:lineRule="exact"/>
        <w:rPr>
          <w:rFonts w:ascii="仿宋" w:eastAsia="仿宋" w:hAnsi="仿宋" w:hint="eastAsia"/>
          <w:sz w:val="24"/>
          <w:szCs w:val="28"/>
        </w:rPr>
      </w:pPr>
    </w:p>
    <w:p w14:paraId="1ECE6A75" w14:textId="77777777" w:rsidR="00FE3BC4" w:rsidRDefault="00FE3BC4">
      <w:pPr>
        <w:spacing w:line="440" w:lineRule="exact"/>
        <w:rPr>
          <w:rFonts w:ascii="仿宋" w:eastAsia="仿宋" w:hAnsi="仿宋" w:hint="eastAsia"/>
          <w:sz w:val="24"/>
          <w:szCs w:val="28"/>
        </w:rPr>
      </w:pPr>
    </w:p>
    <w:p w14:paraId="6FD6D14F" w14:textId="77777777" w:rsidR="00FE3BC4" w:rsidRDefault="00FE3BC4">
      <w:pPr>
        <w:spacing w:line="440" w:lineRule="exact"/>
        <w:rPr>
          <w:rFonts w:ascii="仿宋" w:eastAsia="仿宋" w:hAnsi="仿宋" w:hint="eastAsia"/>
          <w:sz w:val="24"/>
          <w:szCs w:val="28"/>
        </w:rPr>
      </w:pPr>
    </w:p>
    <w:p w14:paraId="1F28B67E" w14:textId="77777777" w:rsidR="00FE3BC4" w:rsidRDefault="00FE3BC4">
      <w:pPr>
        <w:spacing w:line="440" w:lineRule="exact"/>
        <w:rPr>
          <w:rFonts w:ascii="仿宋" w:eastAsia="仿宋" w:hAnsi="仿宋" w:hint="eastAsia"/>
          <w:sz w:val="24"/>
          <w:szCs w:val="28"/>
        </w:rPr>
      </w:pPr>
    </w:p>
    <w:p w14:paraId="77EDBDBC"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FE3BC4"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FE3BC4"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FE3BC4"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5AAED2F7" w14:textId="77777777" w:rsidR="00FE3BC4" w:rsidRDefault="00FE3BC4">
      <w:pPr>
        <w:spacing w:line="440" w:lineRule="exact"/>
        <w:rPr>
          <w:rFonts w:hint="eastAsia"/>
          <w:sz w:val="24"/>
          <w:szCs w:val="28"/>
        </w:rPr>
        <w:sectPr w:rsidR="00FE3BC4">
          <w:pgSz w:w="11906" w:h="16838"/>
          <w:pgMar w:top="1440" w:right="1800" w:bottom="1440" w:left="1800" w:header="851" w:footer="992" w:gutter="0"/>
          <w:cols w:space="720"/>
          <w:docGrid w:type="lines" w:linePitch="312"/>
        </w:sectPr>
      </w:pPr>
    </w:p>
    <w:p w14:paraId="1659889B" w14:textId="77777777" w:rsidR="00FE3BC4"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FE3BC4" w:rsidRDefault="00FE3BC4">
      <w:pPr>
        <w:spacing w:line="440" w:lineRule="exact"/>
        <w:rPr>
          <w:rFonts w:hint="eastAsia"/>
          <w:sz w:val="24"/>
          <w:szCs w:val="28"/>
        </w:rPr>
      </w:pPr>
    </w:p>
    <w:p w14:paraId="6B4D63DA" w14:textId="77777777" w:rsidR="00FE3BC4"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FE3BC4" w:rsidRDefault="00FE3BC4">
      <w:pPr>
        <w:spacing w:line="440" w:lineRule="exact"/>
        <w:rPr>
          <w:rFonts w:hint="eastAsia"/>
          <w:b/>
          <w:bCs/>
          <w:sz w:val="24"/>
          <w:szCs w:val="28"/>
        </w:rPr>
      </w:pPr>
    </w:p>
    <w:p w14:paraId="7E067638" w14:textId="77777777" w:rsidR="00FE3BC4" w:rsidRDefault="00FE3BC4">
      <w:pPr>
        <w:spacing w:line="440" w:lineRule="exact"/>
        <w:rPr>
          <w:rFonts w:hint="eastAsia"/>
          <w:b/>
          <w:bCs/>
          <w:sz w:val="24"/>
          <w:szCs w:val="28"/>
        </w:rPr>
      </w:pPr>
    </w:p>
    <w:p w14:paraId="58F23B47" w14:textId="77777777" w:rsidR="00FE3BC4" w:rsidRDefault="00FE3BC4">
      <w:pPr>
        <w:spacing w:line="440" w:lineRule="exact"/>
        <w:rPr>
          <w:rFonts w:hint="eastAsia"/>
          <w:b/>
          <w:bCs/>
          <w:sz w:val="24"/>
          <w:szCs w:val="28"/>
        </w:rPr>
      </w:pPr>
    </w:p>
    <w:p w14:paraId="3574BD4F" w14:textId="77777777" w:rsidR="00FE3BC4" w:rsidRDefault="00FE3BC4">
      <w:pPr>
        <w:spacing w:line="440" w:lineRule="exact"/>
        <w:rPr>
          <w:rFonts w:hint="eastAsia"/>
          <w:sz w:val="24"/>
          <w:szCs w:val="28"/>
        </w:rPr>
        <w:sectPr w:rsidR="00FE3BC4">
          <w:pgSz w:w="11906" w:h="16838"/>
          <w:pgMar w:top="1440" w:right="1800" w:bottom="1440" w:left="1800" w:header="851" w:footer="992" w:gutter="0"/>
          <w:cols w:space="720"/>
          <w:docGrid w:type="lines" w:linePitch="312"/>
        </w:sectPr>
      </w:pPr>
    </w:p>
    <w:p w14:paraId="20F7C925" w14:textId="77777777" w:rsidR="00FE3BC4"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FE3BC4"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FE3BC4"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FE3BC4"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FE3BC4"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FE3BC4" w:rsidRDefault="00FE3BC4">
      <w:pPr>
        <w:spacing w:line="440" w:lineRule="exact"/>
        <w:rPr>
          <w:rFonts w:ascii="仿宋" w:eastAsia="仿宋" w:hAnsi="仿宋" w:hint="eastAsia"/>
          <w:sz w:val="24"/>
          <w:szCs w:val="28"/>
        </w:rPr>
      </w:pPr>
    </w:p>
    <w:p w14:paraId="266B6FD2" w14:textId="77777777" w:rsidR="00FE3BC4"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FE3BC4"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FE3BC4"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FE3BC4"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3534F15E" w14:textId="77777777" w:rsidR="00FE3BC4" w:rsidRDefault="00FE3BC4">
      <w:pPr>
        <w:spacing w:line="440" w:lineRule="exact"/>
        <w:rPr>
          <w:rFonts w:hint="eastAsia"/>
          <w:sz w:val="24"/>
          <w:szCs w:val="28"/>
        </w:rPr>
        <w:sectPr w:rsidR="00FE3BC4">
          <w:pgSz w:w="11906" w:h="16838"/>
          <w:pgMar w:top="1440" w:right="1800" w:bottom="1440" w:left="1800" w:header="851" w:footer="992" w:gutter="0"/>
          <w:cols w:space="720"/>
          <w:docGrid w:type="lines" w:linePitch="312"/>
        </w:sectPr>
      </w:pPr>
    </w:p>
    <w:p w14:paraId="5202A020" w14:textId="77777777" w:rsidR="00FE3BC4"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FE3BC4" w:rsidRDefault="00FE3BC4">
      <w:pPr>
        <w:spacing w:line="440" w:lineRule="exact"/>
        <w:rPr>
          <w:rFonts w:hint="eastAsia"/>
          <w:b/>
          <w:sz w:val="24"/>
          <w:szCs w:val="28"/>
        </w:rPr>
      </w:pPr>
    </w:p>
    <w:p w14:paraId="44DBC4E4" w14:textId="77777777" w:rsidR="00FE3BC4" w:rsidRDefault="00000000">
      <w:pPr>
        <w:spacing w:line="440" w:lineRule="exact"/>
        <w:jc w:val="center"/>
        <w:rPr>
          <w:rFonts w:hint="eastAsia"/>
          <w:sz w:val="24"/>
          <w:szCs w:val="28"/>
        </w:rPr>
      </w:pPr>
      <w:r>
        <w:rPr>
          <w:rFonts w:hint="eastAsia"/>
          <w:b/>
          <w:sz w:val="24"/>
          <w:szCs w:val="28"/>
        </w:rPr>
        <w:t>项目业绩表</w:t>
      </w:r>
      <w:r>
        <w:rPr>
          <w:rFonts w:hint="eastAsia"/>
          <w:b/>
          <w:bCs/>
          <w:sz w:val="24"/>
          <w:szCs w:val="28"/>
        </w:rPr>
        <w:t>（格式可拟定）</w:t>
      </w:r>
    </w:p>
    <w:p w14:paraId="3E1D403C" w14:textId="77777777" w:rsidR="00FE3BC4" w:rsidRDefault="00FE3BC4">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FE3BC4"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FE3BC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FE3BC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FE3BC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FE3BC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FE3BC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FE3BC4"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FE3BC4" w:rsidRDefault="00FE3BC4">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FE3BC4" w:rsidRDefault="00FE3BC4">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FE3BC4" w:rsidRDefault="00FE3BC4">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FE3BC4" w:rsidRDefault="00FE3BC4">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FE3BC4" w:rsidRDefault="00FE3BC4">
            <w:pPr>
              <w:spacing w:line="440" w:lineRule="exact"/>
              <w:rPr>
                <w:rFonts w:ascii="仿宋" w:eastAsia="仿宋" w:hAnsi="仿宋" w:hint="eastAsia"/>
                <w:bCs/>
                <w:sz w:val="24"/>
                <w:szCs w:val="28"/>
              </w:rPr>
            </w:pPr>
          </w:p>
        </w:tc>
      </w:tr>
      <w:tr w:rsidR="00FE3BC4"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FE3BC4" w:rsidRDefault="00FE3BC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FE3BC4" w:rsidRDefault="00FE3BC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FE3BC4" w:rsidRDefault="00FE3BC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FE3BC4" w:rsidRDefault="00FE3BC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FE3BC4" w:rsidRDefault="00FE3BC4">
            <w:pPr>
              <w:spacing w:line="440" w:lineRule="exact"/>
              <w:rPr>
                <w:rFonts w:ascii="仿宋" w:eastAsia="仿宋" w:hAnsi="仿宋" w:hint="eastAsia"/>
                <w:bCs/>
                <w:sz w:val="24"/>
                <w:szCs w:val="28"/>
              </w:rPr>
            </w:pPr>
          </w:p>
        </w:tc>
      </w:tr>
      <w:tr w:rsidR="00FE3BC4"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FE3BC4" w:rsidRDefault="00FE3BC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FE3BC4" w:rsidRDefault="00FE3BC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FE3BC4" w:rsidRDefault="00FE3BC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FE3BC4" w:rsidRDefault="00FE3BC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FE3BC4" w:rsidRDefault="00FE3BC4">
            <w:pPr>
              <w:spacing w:line="440" w:lineRule="exact"/>
              <w:rPr>
                <w:rFonts w:ascii="仿宋" w:eastAsia="仿宋" w:hAnsi="仿宋" w:hint="eastAsia"/>
                <w:bCs/>
                <w:sz w:val="24"/>
                <w:szCs w:val="28"/>
              </w:rPr>
            </w:pPr>
          </w:p>
        </w:tc>
      </w:tr>
      <w:tr w:rsidR="00FE3BC4"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FE3BC4" w:rsidRDefault="00FE3BC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FE3BC4" w:rsidRDefault="00FE3BC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FE3BC4" w:rsidRDefault="00FE3BC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FE3BC4" w:rsidRDefault="00FE3BC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FE3BC4" w:rsidRDefault="00FE3BC4">
            <w:pPr>
              <w:spacing w:line="440" w:lineRule="exact"/>
              <w:rPr>
                <w:rFonts w:ascii="仿宋" w:eastAsia="仿宋" w:hAnsi="仿宋" w:hint="eastAsia"/>
                <w:bCs/>
                <w:sz w:val="24"/>
                <w:szCs w:val="28"/>
              </w:rPr>
            </w:pPr>
          </w:p>
        </w:tc>
      </w:tr>
      <w:tr w:rsidR="00FE3BC4"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FE3BC4" w:rsidRDefault="00FE3BC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FE3BC4" w:rsidRDefault="00FE3BC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FE3BC4" w:rsidRDefault="00FE3BC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FE3BC4" w:rsidRDefault="00FE3BC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FE3BC4" w:rsidRDefault="00FE3BC4">
            <w:pPr>
              <w:spacing w:line="440" w:lineRule="exact"/>
              <w:rPr>
                <w:rFonts w:ascii="仿宋" w:eastAsia="仿宋" w:hAnsi="仿宋" w:hint="eastAsia"/>
                <w:bCs/>
                <w:sz w:val="24"/>
                <w:szCs w:val="28"/>
              </w:rPr>
            </w:pPr>
          </w:p>
        </w:tc>
      </w:tr>
      <w:tr w:rsidR="00FE3BC4"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FE3BC4" w:rsidRDefault="00FE3BC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FE3BC4" w:rsidRDefault="00FE3BC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FE3BC4" w:rsidRDefault="00FE3BC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FE3BC4" w:rsidRDefault="00FE3BC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FE3BC4" w:rsidRDefault="00FE3BC4">
            <w:pPr>
              <w:spacing w:line="440" w:lineRule="exact"/>
              <w:rPr>
                <w:rFonts w:ascii="仿宋" w:eastAsia="仿宋" w:hAnsi="仿宋" w:hint="eastAsia"/>
                <w:bCs/>
                <w:sz w:val="24"/>
                <w:szCs w:val="28"/>
              </w:rPr>
            </w:pPr>
          </w:p>
        </w:tc>
      </w:tr>
    </w:tbl>
    <w:p w14:paraId="6E9C8E1C" w14:textId="77777777" w:rsidR="00FE3BC4" w:rsidRDefault="00FE3BC4">
      <w:pPr>
        <w:spacing w:line="440" w:lineRule="exact"/>
        <w:rPr>
          <w:rFonts w:ascii="仿宋" w:eastAsia="仿宋" w:hAnsi="仿宋" w:hint="eastAsia"/>
          <w:bCs/>
          <w:sz w:val="24"/>
          <w:szCs w:val="28"/>
        </w:rPr>
      </w:pPr>
    </w:p>
    <w:p w14:paraId="0704B92B" w14:textId="77777777" w:rsidR="00FE3BC4" w:rsidRDefault="00FE3BC4">
      <w:pPr>
        <w:spacing w:line="440" w:lineRule="exact"/>
        <w:rPr>
          <w:rFonts w:ascii="仿宋" w:eastAsia="仿宋" w:hAnsi="仿宋" w:hint="eastAsia"/>
          <w:bCs/>
          <w:sz w:val="24"/>
          <w:szCs w:val="28"/>
        </w:rPr>
      </w:pPr>
    </w:p>
    <w:p w14:paraId="5B4056CC" w14:textId="77777777" w:rsidR="00FE3BC4" w:rsidRDefault="00FE3BC4">
      <w:pPr>
        <w:spacing w:line="440" w:lineRule="exact"/>
        <w:rPr>
          <w:rFonts w:ascii="仿宋" w:eastAsia="仿宋" w:hAnsi="仿宋" w:hint="eastAsia"/>
          <w:bCs/>
          <w:sz w:val="24"/>
          <w:szCs w:val="28"/>
        </w:rPr>
      </w:pPr>
    </w:p>
    <w:p w14:paraId="4E4EC872" w14:textId="77777777" w:rsidR="00FE3BC4"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FE3BC4"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FE3BC4" w:rsidRDefault="00FE3BC4">
      <w:pPr>
        <w:spacing w:line="440" w:lineRule="exact"/>
        <w:rPr>
          <w:rFonts w:ascii="仿宋" w:eastAsia="仿宋" w:hAnsi="仿宋" w:hint="eastAsia"/>
          <w:sz w:val="24"/>
          <w:szCs w:val="28"/>
        </w:rPr>
      </w:pPr>
    </w:p>
    <w:p w14:paraId="0818E7E0" w14:textId="77777777" w:rsidR="00FE3BC4"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FE3BC4" w:rsidRDefault="00FE3BC4">
      <w:pPr>
        <w:spacing w:line="440" w:lineRule="exact"/>
        <w:rPr>
          <w:rFonts w:ascii="仿宋" w:eastAsia="仿宋" w:hAnsi="仿宋" w:hint="eastAsia"/>
          <w:b/>
          <w:bCs/>
          <w:sz w:val="24"/>
          <w:szCs w:val="28"/>
        </w:rPr>
      </w:pPr>
    </w:p>
    <w:p w14:paraId="5A8B8825" w14:textId="77777777" w:rsidR="00FE3BC4" w:rsidRDefault="00FE3BC4">
      <w:pPr>
        <w:spacing w:line="440" w:lineRule="exact"/>
        <w:rPr>
          <w:rFonts w:hint="eastAsia"/>
          <w:b/>
          <w:bCs/>
          <w:sz w:val="24"/>
          <w:szCs w:val="28"/>
        </w:rPr>
        <w:sectPr w:rsidR="00FE3BC4">
          <w:pgSz w:w="11906" w:h="16838"/>
          <w:pgMar w:top="1247" w:right="1474" w:bottom="1247" w:left="1474" w:header="851" w:footer="992" w:gutter="0"/>
          <w:cols w:space="720"/>
        </w:sectPr>
      </w:pPr>
    </w:p>
    <w:p w14:paraId="58D38FD7" w14:textId="77777777" w:rsidR="00FE3BC4"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FE3BC4" w:rsidRDefault="00FE3BC4">
      <w:pPr>
        <w:spacing w:line="440" w:lineRule="exact"/>
        <w:rPr>
          <w:rFonts w:hint="eastAsia"/>
          <w:sz w:val="24"/>
          <w:szCs w:val="28"/>
        </w:rPr>
      </w:pPr>
    </w:p>
    <w:p w14:paraId="4B1505F7" w14:textId="77777777" w:rsidR="00FE3BC4"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FE3BC4"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FE3BC4"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FE3BC4" w:rsidRDefault="00FE3BC4">
      <w:pPr>
        <w:spacing w:line="440" w:lineRule="exact"/>
        <w:rPr>
          <w:rFonts w:ascii="仿宋" w:eastAsia="仿宋" w:hAnsi="仿宋" w:hint="eastAsia"/>
          <w:bCs/>
          <w:sz w:val="24"/>
          <w:szCs w:val="28"/>
        </w:rPr>
      </w:pPr>
    </w:p>
    <w:p w14:paraId="0AC79DEE" w14:textId="77777777" w:rsidR="00FE3BC4" w:rsidRDefault="00FE3BC4">
      <w:pPr>
        <w:spacing w:line="440" w:lineRule="exact"/>
        <w:rPr>
          <w:rFonts w:ascii="仿宋" w:eastAsia="仿宋" w:hAnsi="仿宋" w:hint="eastAsia"/>
          <w:bCs/>
          <w:sz w:val="24"/>
          <w:szCs w:val="28"/>
        </w:rPr>
      </w:pPr>
    </w:p>
    <w:p w14:paraId="27026451" w14:textId="77777777" w:rsidR="00FE3BC4" w:rsidRDefault="00FE3BC4">
      <w:pPr>
        <w:spacing w:line="440" w:lineRule="exact"/>
        <w:rPr>
          <w:rFonts w:ascii="仿宋" w:eastAsia="仿宋" w:hAnsi="仿宋" w:hint="eastAsia"/>
          <w:bCs/>
          <w:sz w:val="24"/>
          <w:szCs w:val="28"/>
        </w:rPr>
      </w:pPr>
    </w:p>
    <w:p w14:paraId="21CF3B63" w14:textId="77777777" w:rsidR="00FE3BC4"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FE3BC4"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FE3BC4" w:rsidRDefault="00FE3BC4">
      <w:pPr>
        <w:spacing w:line="440" w:lineRule="exact"/>
        <w:rPr>
          <w:rFonts w:ascii="仿宋" w:eastAsia="仿宋" w:hAnsi="仿宋" w:hint="eastAsia"/>
          <w:sz w:val="24"/>
          <w:szCs w:val="28"/>
        </w:rPr>
      </w:pPr>
    </w:p>
    <w:p w14:paraId="14F12443" w14:textId="77777777" w:rsidR="00FE3BC4"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0"/>
    </w:p>
    <w:p w14:paraId="1FC0F026" w14:textId="77777777" w:rsidR="00FE3BC4" w:rsidRDefault="00FE3BC4">
      <w:pPr>
        <w:spacing w:line="360" w:lineRule="auto"/>
        <w:rPr>
          <w:rFonts w:ascii="仿宋" w:eastAsia="仿宋" w:hAnsi="仿宋" w:hint="eastAsia"/>
          <w:sz w:val="24"/>
          <w:szCs w:val="28"/>
        </w:rPr>
      </w:pPr>
    </w:p>
    <w:p w14:paraId="4E63DB98" w14:textId="77777777" w:rsidR="00FE3BC4" w:rsidRDefault="00000000">
      <w:pPr>
        <w:rPr>
          <w:rFonts w:hint="eastAsia"/>
          <w:color w:val="000000" w:themeColor="text1"/>
          <w:sz w:val="24"/>
          <w:szCs w:val="28"/>
        </w:rPr>
      </w:pPr>
      <w:r>
        <w:rPr>
          <w:rFonts w:hint="eastAsia"/>
          <w:color w:val="000000" w:themeColor="text1"/>
          <w:sz w:val="24"/>
          <w:szCs w:val="28"/>
        </w:rPr>
        <w:t>评分表：</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227" w:type="dxa"/>
          <w:bottom w:w="227" w:type="dxa"/>
          <w:right w:w="227" w:type="dxa"/>
        </w:tblCellMar>
        <w:tblLook w:val="04A0" w:firstRow="1" w:lastRow="0" w:firstColumn="1" w:lastColumn="0" w:noHBand="0" w:noVBand="1"/>
      </w:tblPr>
      <w:tblGrid>
        <w:gridCol w:w="799"/>
        <w:gridCol w:w="1338"/>
        <w:gridCol w:w="851"/>
        <w:gridCol w:w="6945"/>
      </w:tblGrid>
      <w:tr w:rsidR="00FE3BC4" w14:paraId="0807B8BA" w14:textId="77777777">
        <w:trPr>
          <w:trHeight w:val="575"/>
          <w:jc w:val="center"/>
        </w:trPr>
        <w:tc>
          <w:tcPr>
            <w:tcW w:w="799" w:type="dxa"/>
            <w:noWrap/>
            <w:tcMar>
              <w:top w:w="0" w:type="dxa"/>
              <w:left w:w="0" w:type="dxa"/>
              <w:bottom w:w="0" w:type="dxa"/>
              <w:right w:w="0" w:type="dxa"/>
            </w:tcMar>
            <w:vAlign w:val="center"/>
          </w:tcPr>
          <w:p w14:paraId="5018E616" w14:textId="77777777" w:rsidR="00FE3BC4" w:rsidRDefault="00000000">
            <w:pPr>
              <w:pStyle w:val="Af2"/>
              <w:jc w:val="center"/>
              <w:rPr>
                <w:rFonts w:ascii="宋体" w:eastAsia="宋体" w:hAnsi="宋体" w:cs="Times New Roman" w:hint="eastAsia"/>
                <w:b/>
                <w:bCs/>
                <w:color w:val="auto"/>
                <w:kern w:val="0"/>
              </w:rPr>
            </w:pPr>
            <w:r>
              <w:rPr>
                <w:rFonts w:ascii="宋体" w:eastAsia="宋体" w:hAnsi="宋体" w:cs="Times New Roman"/>
                <w:b/>
                <w:bCs/>
                <w:color w:val="auto"/>
                <w:kern w:val="0"/>
              </w:rPr>
              <w:t>序号</w:t>
            </w:r>
          </w:p>
        </w:tc>
        <w:tc>
          <w:tcPr>
            <w:tcW w:w="1338" w:type="dxa"/>
            <w:noWrap/>
            <w:tcMar>
              <w:top w:w="0" w:type="dxa"/>
              <w:left w:w="0" w:type="dxa"/>
              <w:bottom w:w="0" w:type="dxa"/>
              <w:right w:w="0" w:type="dxa"/>
            </w:tcMar>
            <w:vAlign w:val="center"/>
          </w:tcPr>
          <w:p w14:paraId="7E53B2E1" w14:textId="77777777" w:rsidR="00FE3BC4" w:rsidRDefault="00000000">
            <w:pPr>
              <w:pStyle w:val="Af2"/>
              <w:jc w:val="center"/>
              <w:rPr>
                <w:rFonts w:ascii="宋体" w:eastAsia="宋体" w:hAnsi="宋体" w:cs="Times New Roman" w:hint="eastAsia"/>
                <w:b/>
                <w:bCs/>
                <w:color w:val="auto"/>
                <w:kern w:val="0"/>
              </w:rPr>
            </w:pPr>
            <w:r>
              <w:rPr>
                <w:rFonts w:ascii="宋体" w:eastAsia="宋体" w:hAnsi="宋体" w:cs="Times New Roman"/>
                <w:b/>
                <w:bCs/>
                <w:color w:val="auto"/>
                <w:kern w:val="0"/>
              </w:rPr>
              <w:t>评分因素</w:t>
            </w:r>
          </w:p>
        </w:tc>
        <w:tc>
          <w:tcPr>
            <w:tcW w:w="851" w:type="dxa"/>
            <w:noWrap/>
            <w:tcMar>
              <w:top w:w="0" w:type="dxa"/>
              <w:left w:w="0" w:type="dxa"/>
              <w:bottom w:w="0" w:type="dxa"/>
              <w:right w:w="0" w:type="dxa"/>
            </w:tcMar>
            <w:vAlign w:val="center"/>
          </w:tcPr>
          <w:p w14:paraId="094B2572" w14:textId="77777777" w:rsidR="00FE3BC4" w:rsidRDefault="00000000">
            <w:pPr>
              <w:pStyle w:val="Af2"/>
              <w:jc w:val="center"/>
              <w:rPr>
                <w:rFonts w:ascii="宋体" w:eastAsia="宋体" w:hAnsi="宋体" w:cs="Times New Roman" w:hint="eastAsia"/>
                <w:b/>
                <w:bCs/>
                <w:color w:val="auto"/>
                <w:kern w:val="0"/>
              </w:rPr>
            </w:pPr>
            <w:r>
              <w:rPr>
                <w:rFonts w:ascii="宋体" w:eastAsia="宋体" w:hAnsi="宋体" w:cs="Times New Roman"/>
                <w:b/>
                <w:bCs/>
                <w:color w:val="auto"/>
                <w:kern w:val="0"/>
              </w:rPr>
              <w:t>满分值</w:t>
            </w:r>
          </w:p>
        </w:tc>
        <w:tc>
          <w:tcPr>
            <w:tcW w:w="6945" w:type="dxa"/>
            <w:noWrap/>
            <w:tcMar>
              <w:top w:w="0" w:type="dxa"/>
              <w:left w:w="0" w:type="dxa"/>
              <w:bottom w:w="0" w:type="dxa"/>
              <w:right w:w="0" w:type="dxa"/>
            </w:tcMar>
            <w:vAlign w:val="center"/>
          </w:tcPr>
          <w:p w14:paraId="6A8A53D8" w14:textId="77777777" w:rsidR="00FE3BC4" w:rsidRDefault="00000000">
            <w:pPr>
              <w:pStyle w:val="Af2"/>
              <w:spacing w:line="360" w:lineRule="auto"/>
              <w:jc w:val="center"/>
              <w:rPr>
                <w:rFonts w:ascii="宋体" w:eastAsia="宋体" w:hAnsi="宋体" w:cs="Times New Roman" w:hint="eastAsia"/>
                <w:b/>
                <w:bCs/>
                <w:color w:val="auto"/>
                <w:kern w:val="0"/>
              </w:rPr>
            </w:pPr>
            <w:r>
              <w:rPr>
                <w:rFonts w:ascii="宋体" w:eastAsia="宋体" w:hAnsi="宋体" w:cs="Times New Roman"/>
                <w:b/>
                <w:bCs/>
                <w:color w:val="auto"/>
                <w:kern w:val="0"/>
              </w:rPr>
              <w:t>评分细则</w:t>
            </w:r>
          </w:p>
        </w:tc>
      </w:tr>
      <w:tr w:rsidR="00FE3BC4" w14:paraId="4545E0CA" w14:textId="77777777">
        <w:trPr>
          <w:trHeight w:val="1722"/>
          <w:jc w:val="center"/>
        </w:trPr>
        <w:tc>
          <w:tcPr>
            <w:tcW w:w="799" w:type="dxa"/>
            <w:noWrap/>
            <w:tcMar>
              <w:top w:w="0" w:type="dxa"/>
              <w:left w:w="0" w:type="dxa"/>
              <w:bottom w:w="0" w:type="dxa"/>
              <w:right w:w="0" w:type="dxa"/>
            </w:tcMar>
            <w:vAlign w:val="center"/>
          </w:tcPr>
          <w:p w14:paraId="327AF71A" w14:textId="77777777" w:rsidR="00FE3BC4" w:rsidRDefault="00000000">
            <w:pPr>
              <w:pStyle w:val="Af2"/>
              <w:spacing w:line="400" w:lineRule="exact"/>
              <w:jc w:val="center"/>
              <w:rPr>
                <w:rFonts w:ascii="宋体" w:eastAsia="宋体" w:hAnsi="宋体" w:cs="Times New Roman" w:hint="eastAsia"/>
                <w:bCs/>
                <w:color w:val="auto"/>
                <w:kern w:val="0"/>
              </w:rPr>
            </w:pPr>
            <w:r>
              <w:rPr>
                <w:rFonts w:ascii="宋体" w:eastAsia="宋体" w:hAnsi="宋体" w:cs="Times New Roman"/>
                <w:bCs/>
                <w:color w:val="auto"/>
                <w:kern w:val="0"/>
              </w:rPr>
              <w:t>1</w:t>
            </w:r>
          </w:p>
        </w:tc>
        <w:tc>
          <w:tcPr>
            <w:tcW w:w="1338" w:type="dxa"/>
            <w:noWrap/>
            <w:tcMar>
              <w:top w:w="0" w:type="dxa"/>
              <w:left w:w="0" w:type="dxa"/>
              <w:bottom w:w="0" w:type="dxa"/>
              <w:right w:w="0" w:type="dxa"/>
            </w:tcMar>
            <w:vAlign w:val="center"/>
          </w:tcPr>
          <w:p w14:paraId="60495CAB" w14:textId="77777777" w:rsidR="00FE3BC4" w:rsidRDefault="00000000">
            <w:pPr>
              <w:pStyle w:val="Af2"/>
              <w:spacing w:line="400" w:lineRule="exact"/>
              <w:ind w:firstLine="420"/>
              <w:rPr>
                <w:rFonts w:ascii="宋体" w:eastAsia="宋体" w:hAnsi="宋体" w:cs="Times New Roman" w:hint="eastAsia"/>
                <w:b/>
                <w:bCs/>
                <w:color w:val="auto"/>
                <w:kern w:val="0"/>
              </w:rPr>
            </w:pPr>
            <w:r>
              <w:rPr>
                <w:rFonts w:ascii="宋体" w:eastAsia="宋体" w:hAnsi="宋体" w:cs="Times New Roman"/>
                <w:b/>
                <w:bCs/>
                <w:color w:val="auto"/>
                <w:kern w:val="0"/>
              </w:rPr>
              <w:t>价格</w:t>
            </w:r>
          </w:p>
        </w:tc>
        <w:tc>
          <w:tcPr>
            <w:tcW w:w="851" w:type="dxa"/>
            <w:noWrap/>
            <w:tcMar>
              <w:top w:w="0" w:type="dxa"/>
              <w:left w:w="0" w:type="dxa"/>
              <w:bottom w:w="0" w:type="dxa"/>
              <w:right w:w="0" w:type="dxa"/>
            </w:tcMar>
            <w:vAlign w:val="center"/>
          </w:tcPr>
          <w:p w14:paraId="4226F24B" w14:textId="77777777" w:rsidR="00FE3BC4" w:rsidRDefault="00000000">
            <w:pPr>
              <w:pStyle w:val="Af2"/>
              <w:spacing w:line="400" w:lineRule="exact"/>
              <w:ind w:firstLine="46"/>
              <w:jc w:val="center"/>
              <w:rPr>
                <w:rFonts w:ascii="宋体" w:eastAsia="宋体" w:hAnsi="宋体" w:cs="Times New Roman" w:hint="eastAsia"/>
                <w:b/>
                <w:bCs/>
                <w:color w:val="auto"/>
                <w:kern w:val="0"/>
              </w:rPr>
            </w:pPr>
            <w:r>
              <w:rPr>
                <w:rFonts w:ascii="宋体" w:hAnsi="宋体"/>
                <w:b/>
                <w:color w:val="auto"/>
              </w:rPr>
              <w:t>20</w:t>
            </w:r>
            <w:r>
              <w:rPr>
                <w:rFonts w:ascii="宋体" w:eastAsia="宋体" w:hAnsi="宋体" w:cs="Times New Roman"/>
                <w:b/>
                <w:bCs/>
                <w:color w:val="auto"/>
                <w:kern w:val="0"/>
              </w:rPr>
              <w:t>分</w:t>
            </w:r>
          </w:p>
        </w:tc>
        <w:tc>
          <w:tcPr>
            <w:tcW w:w="6945" w:type="dxa"/>
            <w:noWrap/>
            <w:tcMar>
              <w:top w:w="0" w:type="dxa"/>
              <w:left w:w="0" w:type="dxa"/>
              <w:bottom w:w="0" w:type="dxa"/>
              <w:right w:w="0" w:type="dxa"/>
            </w:tcMar>
            <w:vAlign w:val="center"/>
          </w:tcPr>
          <w:p w14:paraId="0BFDD2B3" w14:textId="77777777" w:rsidR="00FE3BC4" w:rsidRDefault="00000000">
            <w:pPr>
              <w:spacing w:line="360" w:lineRule="auto"/>
              <w:ind w:leftChars="33" w:left="69" w:rightChars="100" w:right="210" w:firstLineChars="1" w:firstLine="2"/>
              <w:rPr>
                <w:rFonts w:ascii="宋体" w:hAnsi="宋体" w:hint="eastAsia"/>
                <w:szCs w:val="21"/>
                <w:lang w:val="en-GB"/>
              </w:rPr>
            </w:pPr>
            <w:r>
              <w:rPr>
                <w:rFonts w:ascii="宋体" w:eastAsia="宋体" w:hAnsi="宋体" w:cs="宋体" w:hint="eastAsia"/>
                <w:szCs w:val="21"/>
                <w:lang w:val="en-GB"/>
              </w:rPr>
              <w:t>对所有经评审的各有效最后报价，取最低报价作为基准价，各供应商报价分计算公式为：报价分＝（基准价÷该报价）×20</w:t>
            </w:r>
            <w:r>
              <w:rPr>
                <w:rFonts w:ascii="宋体" w:eastAsia="宋体" w:hAnsi="宋体" w:cs="宋体" w:hint="eastAsia"/>
                <w:szCs w:val="21"/>
              </w:rPr>
              <w:t>分。</w:t>
            </w:r>
            <w:r>
              <w:rPr>
                <w:rFonts w:ascii="宋体" w:eastAsia="宋体" w:hAnsi="宋体" w:cs="宋体" w:hint="eastAsia"/>
                <w:szCs w:val="21"/>
                <w:lang w:val="en-GB"/>
              </w:rPr>
              <w:t>对报价</w:t>
            </w:r>
            <w:proofErr w:type="gramStart"/>
            <w:r>
              <w:rPr>
                <w:rFonts w:ascii="宋体" w:eastAsia="宋体" w:hAnsi="宋体" w:cs="宋体" w:hint="eastAsia"/>
                <w:szCs w:val="21"/>
                <w:lang w:val="en-GB"/>
              </w:rPr>
              <w:t>价</w:t>
            </w:r>
            <w:proofErr w:type="gramEnd"/>
            <w:r>
              <w:rPr>
                <w:rFonts w:ascii="宋体" w:eastAsia="宋体" w:hAnsi="宋体" w:cs="宋体" w:hint="eastAsia"/>
                <w:szCs w:val="21"/>
                <w:lang w:val="en-GB"/>
              </w:rPr>
              <w:t>中符合认定条件的小型和微型企业产品的价格给予10%的扣除，以扣除后的价格作为上述评审价。</w:t>
            </w:r>
          </w:p>
        </w:tc>
      </w:tr>
      <w:tr w:rsidR="00FE3BC4" w14:paraId="44CFB809" w14:textId="77777777">
        <w:trPr>
          <w:trHeight w:val="558"/>
          <w:jc w:val="center"/>
        </w:trPr>
        <w:tc>
          <w:tcPr>
            <w:tcW w:w="799" w:type="dxa"/>
            <w:noWrap/>
            <w:tcMar>
              <w:top w:w="0" w:type="dxa"/>
              <w:left w:w="0" w:type="dxa"/>
              <w:bottom w:w="0" w:type="dxa"/>
              <w:right w:w="0" w:type="dxa"/>
            </w:tcMar>
            <w:vAlign w:val="center"/>
          </w:tcPr>
          <w:p w14:paraId="35CA0B7D" w14:textId="77777777" w:rsidR="00FE3BC4" w:rsidRDefault="00000000">
            <w:pPr>
              <w:pStyle w:val="Af2"/>
              <w:spacing w:line="400" w:lineRule="exact"/>
              <w:jc w:val="center"/>
              <w:rPr>
                <w:rFonts w:ascii="宋体" w:eastAsia="宋体" w:hAnsi="宋体" w:cs="Times New Roman" w:hint="eastAsia"/>
                <w:bCs/>
                <w:color w:val="auto"/>
                <w:kern w:val="0"/>
              </w:rPr>
            </w:pPr>
            <w:r>
              <w:rPr>
                <w:rFonts w:ascii="宋体" w:eastAsia="宋体" w:hAnsi="宋体" w:cs="Times New Roman"/>
                <w:bCs/>
                <w:color w:val="auto"/>
                <w:kern w:val="0"/>
              </w:rPr>
              <w:t>2</w:t>
            </w:r>
          </w:p>
        </w:tc>
        <w:tc>
          <w:tcPr>
            <w:tcW w:w="1338" w:type="dxa"/>
            <w:noWrap/>
            <w:tcMar>
              <w:top w:w="0" w:type="dxa"/>
              <w:left w:w="0" w:type="dxa"/>
              <w:bottom w:w="0" w:type="dxa"/>
              <w:right w:w="0" w:type="dxa"/>
            </w:tcMar>
            <w:vAlign w:val="center"/>
          </w:tcPr>
          <w:p w14:paraId="3B26D603" w14:textId="77777777" w:rsidR="00FE3BC4" w:rsidRDefault="00000000">
            <w:pPr>
              <w:jc w:val="center"/>
              <w:rPr>
                <w:rFonts w:ascii="宋体" w:hAnsi="宋体" w:hint="eastAsia"/>
                <w:b/>
                <w:szCs w:val="21"/>
              </w:rPr>
            </w:pPr>
            <w:r>
              <w:rPr>
                <w:rFonts w:ascii="宋体" w:hAnsi="宋体" w:hint="eastAsia"/>
                <w:b/>
                <w:szCs w:val="21"/>
              </w:rPr>
              <w:t>响应度</w:t>
            </w:r>
          </w:p>
        </w:tc>
        <w:tc>
          <w:tcPr>
            <w:tcW w:w="851" w:type="dxa"/>
            <w:noWrap/>
            <w:tcMar>
              <w:top w:w="0" w:type="dxa"/>
              <w:left w:w="0" w:type="dxa"/>
              <w:bottom w:w="0" w:type="dxa"/>
              <w:right w:w="0" w:type="dxa"/>
            </w:tcMar>
            <w:vAlign w:val="center"/>
          </w:tcPr>
          <w:p w14:paraId="44E5DE1E" w14:textId="77777777" w:rsidR="00FE3BC4" w:rsidRDefault="00000000">
            <w:pPr>
              <w:jc w:val="center"/>
              <w:rPr>
                <w:rFonts w:ascii="宋体" w:hAnsi="宋体" w:hint="eastAsia"/>
                <w:b/>
                <w:szCs w:val="21"/>
              </w:rPr>
            </w:pPr>
            <w:r>
              <w:rPr>
                <w:rFonts w:ascii="宋体" w:hAnsi="宋体" w:hint="eastAsia"/>
                <w:b/>
                <w:szCs w:val="21"/>
              </w:rPr>
              <w:t>5</w:t>
            </w:r>
            <w:r>
              <w:rPr>
                <w:rFonts w:ascii="宋体" w:hAnsi="宋体" w:hint="eastAsia"/>
                <w:b/>
                <w:szCs w:val="21"/>
              </w:rPr>
              <w:t>分</w:t>
            </w:r>
          </w:p>
        </w:tc>
        <w:tc>
          <w:tcPr>
            <w:tcW w:w="6945" w:type="dxa"/>
            <w:noWrap/>
            <w:tcMar>
              <w:top w:w="0" w:type="dxa"/>
              <w:left w:w="0" w:type="dxa"/>
              <w:bottom w:w="0" w:type="dxa"/>
              <w:right w:w="0" w:type="dxa"/>
            </w:tcMar>
            <w:vAlign w:val="center"/>
          </w:tcPr>
          <w:p w14:paraId="3133B5D8" w14:textId="77777777" w:rsidR="00FE3BC4" w:rsidRDefault="00000000">
            <w:pPr>
              <w:pStyle w:val="a3"/>
              <w:adjustRightInd w:val="0"/>
              <w:snapToGrid w:val="0"/>
              <w:spacing w:line="360" w:lineRule="auto"/>
              <w:ind w:leftChars="32" w:left="67"/>
              <w:jc w:val="left"/>
              <w:rPr>
                <w:rFonts w:ascii="宋体" w:eastAsia="宋体" w:hAnsi="宋体" w:cs="宋体" w:hint="eastAsia"/>
                <w:szCs w:val="21"/>
                <w:lang w:val="en-GB"/>
              </w:rPr>
            </w:pPr>
            <w:r>
              <w:rPr>
                <w:rFonts w:ascii="宋体" w:eastAsia="宋体" w:hAnsi="宋体" w:cs="宋体" w:hint="eastAsia"/>
                <w:szCs w:val="21"/>
                <w:lang w:val="en-GB"/>
              </w:rPr>
              <w:t>根据响应文件的完整性、规范性情况；报价格式的符合性、</w:t>
            </w:r>
            <w:proofErr w:type="gramStart"/>
            <w:r>
              <w:rPr>
                <w:rFonts w:ascii="宋体" w:eastAsia="宋体" w:hAnsi="宋体" w:cs="宋体" w:hint="eastAsia"/>
                <w:szCs w:val="21"/>
                <w:lang w:val="en-GB"/>
              </w:rPr>
              <w:t>各资料</w:t>
            </w:r>
            <w:proofErr w:type="gramEnd"/>
            <w:r>
              <w:rPr>
                <w:rFonts w:ascii="宋体" w:eastAsia="宋体" w:hAnsi="宋体" w:cs="宋体" w:hint="eastAsia"/>
                <w:szCs w:val="21"/>
                <w:lang w:val="en-GB"/>
              </w:rPr>
              <w:t>要件的齐全性情况；内容表述是否简明扼要、有针对性等情况进行综合评价。</w:t>
            </w:r>
          </w:p>
          <w:p w14:paraId="07874B30" w14:textId="77777777" w:rsidR="00FE3BC4" w:rsidRDefault="00000000">
            <w:pPr>
              <w:pStyle w:val="a3"/>
              <w:adjustRightInd w:val="0"/>
              <w:snapToGrid w:val="0"/>
              <w:spacing w:line="360" w:lineRule="auto"/>
              <w:ind w:leftChars="32" w:left="67"/>
              <w:jc w:val="left"/>
              <w:rPr>
                <w:rFonts w:ascii="宋体" w:eastAsia="宋体" w:hAnsi="宋体" w:cs="宋体" w:hint="eastAsia"/>
                <w:szCs w:val="21"/>
                <w:lang w:val="en-GB"/>
              </w:rPr>
            </w:pPr>
            <w:r>
              <w:rPr>
                <w:rFonts w:ascii="宋体" w:eastAsia="宋体" w:hAnsi="宋体" w:cs="宋体" w:hint="eastAsia"/>
                <w:szCs w:val="21"/>
                <w:lang w:val="en-GB"/>
              </w:rPr>
              <w:t>评分标准：</w:t>
            </w:r>
          </w:p>
          <w:p w14:paraId="1824AF0F" w14:textId="77777777" w:rsidR="00FE3BC4" w:rsidRDefault="00000000">
            <w:pPr>
              <w:pStyle w:val="a3"/>
              <w:adjustRightInd w:val="0"/>
              <w:snapToGrid w:val="0"/>
              <w:spacing w:line="360" w:lineRule="auto"/>
              <w:ind w:leftChars="32" w:left="67"/>
              <w:jc w:val="left"/>
              <w:rPr>
                <w:rFonts w:ascii="宋体" w:eastAsia="宋体" w:hAnsi="宋体" w:cs="宋体" w:hint="eastAsia"/>
                <w:szCs w:val="21"/>
                <w:lang w:val="en-GB"/>
              </w:rPr>
            </w:pPr>
            <w:r>
              <w:rPr>
                <w:rFonts w:ascii="宋体" w:eastAsia="宋体" w:hAnsi="宋体" w:cs="宋体" w:hint="eastAsia"/>
                <w:szCs w:val="21"/>
              </w:rPr>
              <w:t>（1）</w:t>
            </w:r>
            <w:r>
              <w:rPr>
                <w:rFonts w:ascii="宋体" w:eastAsia="宋体" w:hAnsi="宋体" w:cs="宋体" w:hint="eastAsia"/>
                <w:szCs w:val="21"/>
                <w:lang w:val="en-GB"/>
              </w:rPr>
              <w:t>响应文件内容完整、简洁明了、编排有序的，得4-5分；</w:t>
            </w:r>
          </w:p>
          <w:p w14:paraId="22489C54" w14:textId="77777777" w:rsidR="00FE3BC4" w:rsidRDefault="00000000">
            <w:pPr>
              <w:spacing w:line="360" w:lineRule="auto"/>
              <w:ind w:leftChars="32" w:left="67" w:rightChars="100" w:right="210"/>
              <w:rPr>
                <w:rFonts w:ascii="宋体" w:hAnsi="宋体" w:hint="eastAsia"/>
                <w:szCs w:val="21"/>
                <w:lang w:val="en-GB"/>
              </w:rPr>
            </w:pPr>
            <w:r>
              <w:rPr>
                <w:rFonts w:ascii="宋体" w:eastAsia="宋体" w:hAnsi="宋体" w:cs="宋体" w:hint="eastAsia"/>
                <w:szCs w:val="21"/>
                <w:lang w:val="en-GB"/>
              </w:rPr>
              <w:t>（</w:t>
            </w:r>
            <w:r>
              <w:rPr>
                <w:rFonts w:ascii="宋体" w:eastAsia="宋体" w:hAnsi="宋体" w:cs="宋体" w:hint="eastAsia"/>
                <w:szCs w:val="21"/>
              </w:rPr>
              <w:t>2</w:t>
            </w:r>
            <w:r>
              <w:rPr>
                <w:rFonts w:ascii="宋体" w:eastAsia="宋体" w:hAnsi="宋体" w:cs="宋体" w:hint="eastAsia"/>
                <w:szCs w:val="21"/>
                <w:lang w:val="en-GB"/>
              </w:rPr>
              <w:t>）内容缺漏、重复繁琐、文字或图片不清晰或者编排混乱的，得</w:t>
            </w:r>
            <w:r>
              <w:rPr>
                <w:rFonts w:ascii="宋体" w:eastAsia="宋体" w:hAnsi="宋体" w:cs="宋体" w:hint="eastAsia"/>
                <w:szCs w:val="21"/>
              </w:rPr>
              <w:t>0</w:t>
            </w:r>
            <w:r>
              <w:rPr>
                <w:rFonts w:ascii="宋体" w:eastAsia="宋体" w:hAnsi="宋体" w:cs="宋体" w:hint="eastAsia"/>
                <w:szCs w:val="21"/>
                <w:lang w:val="en-GB"/>
              </w:rPr>
              <w:t>-3分。</w:t>
            </w:r>
          </w:p>
        </w:tc>
      </w:tr>
      <w:tr w:rsidR="00FE3BC4" w14:paraId="5E2CEF2A" w14:textId="77777777">
        <w:trPr>
          <w:trHeight w:val="558"/>
          <w:jc w:val="center"/>
        </w:trPr>
        <w:tc>
          <w:tcPr>
            <w:tcW w:w="799" w:type="dxa"/>
            <w:noWrap/>
            <w:tcMar>
              <w:top w:w="0" w:type="dxa"/>
              <w:left w:w="0" w:type="dxa"/>
              <w:bottom w:w="0" w:type="dxa"/>
              <w:right w:w="0" w:type="dxa"/>
            </w:tcMar>
            <w:vAlign w:val="center"/>
          </w:tcPr>
          <w:p w14:paraId="5A11EC4C" w14:textId="77777777" w:rsidR="00FE3BC4" w:rsidRDefault="00000000">
            <w:pPr>
              <w:pStyle w:val="Af2"/>
              <w:jc w:val="center"/>
              <w:rPr>
                <w:rFonts w:ascii="宋体" w:eastAsia="宋体" w:hAnsi="宋体" w:cs="Times New Roman" w:hint="eastAsia"/>
                <w:bCs/>
                <w:color w:val="auto"/>
                <w:kern w:val="0"/>
              </w:rPr>
            </w:pPr>
            <w:r>
              <w:rPr>
                <w:rFonts w:ascii="宋体" w:eastAsia="宋体" w:hAnsi="宋体" w:cs="Times New Roman"/>
                <w:bCs/>
                <w:color w:val="auto"/>
                <w:kern w:val="0"/>
              </w:rPr>
              <w:t>3</w:t>
            </w:r>
          </w:p>
        </w:tc>
        <w:tc>
          <w:tcPr>
            <w:tcW w:w="1338" w:type="dxa"/>
            <w:noWrap/>
            <w:tcMar>
              <w:top w:w="0" w:type="dxa"/>
              <w:left w:w="0" w:type="dxa"/>
              <w:bottom w:w="0" w:type="dxa"/>
              <w:right w:w="0" w:type="dxa"/>
            </w:tcMar>
            <w:vAlign w:val="center"/>
          </w:tcPr>
          <w:p w14:paraId="40BCBD13" w14:textId="77777777" w:rsidR="00FE3BC4" w:rsidRDefault="00000000">
            <w:pPr>
              <w:pStyle w:val="Af2"/>
              <w:jc w:val="center"/>
              <w:rPr>
                <w:rFonts w:ascii="宋体" w:eastAsia="宋体" w:hAnsi="宋体" w:cs="Times New Roman" w:hint="eastAsia"/>
                <w:b/>
                <w:bCs/>
                <w:color w:val="auto"/>
                <w:kern w:val="0"/>
              </w:rPr>
            </w:pPr>
            <w:r>
              <w:rPr>
                <w:rFonts w:ascii="宋体" w:eastAsia="宋体" w:hAnsi="宋体" w:cs="Times New Roman" w:hint="eastAsia"/>
                <w:b/>
                <w:bCs/>
                <w:color w:val="auto"/>
                <w:kern w:val="0"/>
              </w:rPr>
              <w:t>项目实施方案</w:t>
            </w:r>
          </w:p>
        </w:tc>
        <w:tc>
          <w:tcPr>
            <w:tcW w:w="851" w:type="dxa"/>
            <w:noWrap/>
            <w:tcMar>
              <w:top w:w="0" w:type="dxa"/>
              <w:left w:w="0" w:type="dxa"/>
              <w:bottom w:w="0" w:type="dxa"/>
              <w:right w:w="0" w:type="dxa"/>
            </w:tcMar>
            <w:vAlign w:val="center"/>
          </w:tcPr>
          <w:p w14:paraId="1CC1F9DB" w14:textId="77777777" w:rsidR="00FE3BC4" w:rsidRDefault="00000000">
            <w:pPr>
              <w:pStyle w:val="Af2"/>
              <w:jc w:val="center"/>
              <w:rPr>
                <w:rFonts w:ascii="宋体" w:eastAsia="宋体" w:hAnsi="宋体" w:cs="Times New Roman" w:hint="eastAsia"/>
                <w:b/>
                <w:bCs/>
                <w:color w:val="auto"/>
                <w:kern w:val="0"/>
              </w:rPr>
            </w:pPr>
            <w:r>
              <w:rPr>
                <w:rFonts w:ascii="宋体" w:eastAsia="宋体" w:hAnsi="宋体" w:cs="Times New Roman" w:hint="eastAsia"/>
                <w:b/>
                <w:bCs/>
                <w:color w:val="auto"/>
                <w:kern w:val="0"/>
              </w:rPr>
              <w:t>40</w:t>
            </w:r>
            <w:r>
              <w:rPr>
                <w:rFonts w:ascii="宋体" w:eastAsia="宋体" w:hAnsi="宋体" w:cs="Times New Roman"/>
                <w:b/>
                <w:bCs/>
                <w:color w:val="auto"/>
                <w:kern w:val="0"/>
              </w:rPr>
              <w:t>分</w:t>
            </w:r>
          </w:p>
        </w:tc>
        <w:tc>
          <w:tcPr>
            <w:tcW w:w="6945" w:type="dxa"/>
            <w:noWrap/>
            <w:tcMar>
              <w:top w:w="0" w:type="dxa"/>
              <w:left w:w="0" w:type="dxa"/>
              <w:bottom w:w="0" w:type="dxa"/>
              <w:right w:w="0" w:type="dxa"/>
            </w:tcMar>
            <w:vAlign w:val="center"/>
          </w:tcPr>
          <w:p w14:paraId="7CBC2D0C" w14:textId="77777777" w:rsidR="00FE3BC4" w:rsidRDefault="00000000">
            <w:pPr>
              <w:spacing w:line="360" w:lineRule="auto"/>
              <w:ind w:rightChars="100" w:right="210"/>
              <w:rPr>
                <w:rFonts w:ascii="宋体" w:hAnsi="宋体" w:hint="eastAsia"/>
                <w:b/>
                <w:bCs/>
                <w:kern w:val="0"/>
              </w:rPr>
            </w:pPr>
            <w:r>
              <w:rPr>
                <w:rFonts w:ascii="宋体" w:hAnsi="宋体" w:hint="eastAsia"/>
                <w:b/>
                <w:bCs/>
                <w:kern w:val="0"/>
              </w:rPr>
              <w:t>1</w:t>
            </w:r>
            <w:r>
              <w:rPr>
                <w:rFonts w:ascii="宋体" w:hAnsi="宋体" w:hint="eastAsia"/>
                <w:b/>
                <w:bCs/>
                <w:kern w:val="0"/>
              </w:rPr>
              <w:t>、项目方案（</w:t>
            </w:r>
            <w:r>
              <w:rPr>
                <w:rFonts w:ascii="宋体" w:hAnsi="宋体" w:hint="eastAsia"/>
                <w:b/>
                <w:bCs/>
                <w:kern w:val="0"/>
              </w:rPr>
              <w:t>0-10</w:t>
            </w:r>
            <w:r>
              <w:rPr>
                <w:rFonts w:ascii="宋体" w:hAnsi="宋体" w:hint="eastAsia"/>
                <w:b/>
                <w:bCs/>
                <w:kern w:val="0"/>
              </w:rPr>
              <w:t>）</w:t>
            </w:r>
          </w:p>
          <w:p w14:paraId="743F1296" w14:textId="77777777" w:rsidR="00FE3BC4" w:rsidRDefault="00000000">
            <w:pPr>
              <w:spacing w:line="360" w:lineRule="auto"/>
              <w:ind w:leftChars="34" w:left="71" w:rightChars="100" w:right="210"/>
              <w:rPr>
                <w:rFonts w:ascii="宋体" w:eastAsia="宋体" w:hAnsi="宋体" w:cs="宋体" w:hint="eastAsia"/>
                <w:szCs w:val="21"/>
                <w:lang w:val="en-GB"/>
              </w:rPr>
            </w:pPr>
            <w:r>
              <w:rPr>
                <w:rFonts w:ascii="宋体" w:eastAsia="宋体" w:hAnsi="宋体" w:cs="宋体" w:hint="eastAsia"/>
                <w:szCs w:val="21"/>
                <w:lang w:val="en-GB"/>
              </w:rPr>
              <w:t>评分标准：</w:t>
            </w:r>
          </w:p>
          <w:p w14:paraId="27D06183" w14:textId="77777777" w:rsidR="00FE3BC4" w:rsidRDefault="00000000">
            <w:pPr>
              <w:numPr>
                <w:ilvl w:val="0"/>
                <w:numId w:val="3"/>
              </w:numPr>
              <w:spacing w:line="360" w:lineRule="auto"/>
              <w:ind w:leftChars="34" w:left="71" w:rightChars="100" w:right="210"/>
              <w:rPr>
                <w:rFonts w:ascii="宋体" w:eastAsia="宋体" w:hAnsi="宋体" w:cs="宋体" w:hint="eastAsia"/>
                <w:szCs w:val="21"/>
                <w:lang w:val="en-GB"/>
              </w:rPr>
            </w:pPr>
            <w:r>
              <w:rPr>
                <w:rFonts w:ascii="宋体" w:eastAsia="宋体" w:hAnsi="宋体" w:cs="宋体" w:hint="eastAsia"/>
                <w:szCs w:val="21"/>
                <w:lang w:val="en-GB"/>
              </w:rPr>
              <w:lastRenderedPageBreak/>
              <w:t>实施方案完全匹配项目需求且完整、合理，进度合理科学、措施规范的，得7-10分；</w:t>
            </w:r>
          </w:p>
          <w:p w14:paraId="4979B441" w14:textId="77777777" w:rsidR="00FE3BC4" w:rsidRDefault="00000000">
            <w:pPr>
              <w:numPr>
                <w:ilvl w:val="0"/>
                <w:numId w:val="3"/>
              </w:numPr>
              <w:spacing w:line="360" w:lineRule="auto"/>
              <w:ind w:leftChars="34" w:left="71" w:rightChars="100" w:right="210"/>
              <w:rPr>
                <w:rFonts w:ascii="宋体" w:eastAsia="宋体" w:hAnsi="宋体" w:cs="宋体" w:hint="eastAsia"/>
                <w:szCs w:val="21"/>
                <w:lang w:val="en-GB"/>
              </w:rPr>
            </w:pPr>
            <w:r>
              <w:rPr>
                <w:rFonts w:ascii="宋体" w:eastAsia="宋体" w:hAnsi="宋体" w:cs="宋体" w:hint="eastAsia"/>
                <w:szCs w:val="21"/>
                <w:lang w:val="en-GB"/>
              </w:rPr>
              <w:t>实施方案能够比配项目需求、比较完整，进度安排比较合理、措施比较规范的，得4-6分；</w:t>
            </w:r>
          </w:p>
          <w:p w14:paraId="5DE8E63E" w14:textId="77777777" w:rsidR="00FE3BC4" w:rsidRDefault="00000000">
            <w:pPr>
              <w:spacing w:line="360" w:lineRule="auto"/>
              <w:ind w:leftChars="34" w:left="71" w:rightChars="100" w:right="210"/>
              <w:rPr>
                <w:rFonts w:ascii="宋体" w:hAnsi="宋体" w:hint="eastAsia"/>
                <w:b/>
                <w:bCs/>
                <w:kern w:val="0"/>
              </w:rPr>
            </w:pPr>
            <w:r>
              <w:rPr>
                <w:rFonts w:ascii="宋体" w:eastAsia="宋体" w:hAnsi="宋体" w:cs="宋体" w:hint="eastAsia"/>
                <w:szCs w:val="21"/>
                <w:lang w:val="en-GB"/>
              </w:rPr>
              <w:t>（</w:t>
            </w:r>
            <w:r>
              <w:rPr>
                <w:rFonts w:ascii="宋体" w:eastAsia="宋体" w:hAnsi="宋体" w:cs="宋体" w:hint="eastAsia"/>
                <w:szCs w:val="21"/>
              </w:rPr>
              <w:t>3</w:t>
            </w:r>
            <w:r>
              <w:rPr>
                <w:rFonts w:ascii="宋体" w:eastAsia="宋体" w:hAnsi="宋体" w:cs="宋体" w:hint="eastAsia"/>
                <w:szCs w:val="21"/>
                <w:lang w:val="en-GB"/>
              </w:rPr>
              <w:t>）未提交任何方案、方案不匹配项目需求或不具备可操作性的，得0-3分。</w:t>
            </w:r>
          </w:p>
          <w:p w14:paraId="08AEEFAE" w14:textId="77777777" w:rsidR="00FE3BC4" w:rsidRDefault="00000000">
            <w:pPr>
              <w:spacing w:line="360" w:lineRule="auto"/>
              <w:ind w:leftChars="33" w:left="69" w:rightChars="100" w:right="210" w:firstLineChars="1" w:firstLine="2"/>
              <w:rPr>
                <w:rFonts w:ascii="宋体" w:hAnsi="宋体" w:hint="eastAsia"/>
                <w:b/>
                <w:bCs/>
                <w:kern w:val="0"/>
              </w:rPr>
            </w:pPr>
            <w:r>
              <w:rPr>
                <w:rFonts w:ascii="宋体" w:hAnsi="宋体" w:hint="eastAsia"/>
                <w:b/>
                <w:bCs/>
                <w:kern w:val="0"/>
              </w:rPr>
              <w:t>2</w:t>
            </w:r>
            <w:r>
              <w:rPr>
                <w:rFonts w:ascii="宋体" w:hAnsi="宋体" w:hint="eastAsia"/>
                <w:b/>
                <w:bCs/>
                <w:kern w:val="0"/>
              </w:rPr>
              <w:t>、需求现状分析（</w:t>
            </w:r>
            <w:r>
              <w:rPr>
                <w:rFonts w:ascii="宋体" w:hAnsi="宋体" w:hint="eastAsia"/>
                <w:b/>
                <w:bCs/>
                <w:kern w:val="0"/>
              </w:rPr>
              <w:t>0-10</w:t>
            </w:r>
            <w:r>
              <w:rPr>
                <w:rFonts w:ascii="宋体" w:hAnsi="宋体" w:hint="eastAsia"/>
                <w:b/>
                <w:bCs/>
                <w:kern w:val="0"/>
              </w:rPr>
              <w:t>分）</w:t>
            </w:r>
          </w:p>
          <w:p w14:paraId="398A50B3" w14:textId="77777777" w:rsidR="00FE3BC4" w:rsidRDefault="00000000">
            <w:pPr>
              <w:spacing w:line="360" w:lineRule="auto"/>
              <w:ind w:leftChars="33" w:left="69" w:rightChars="100" w:right="210" w:firstLineChars="1" w:firstLine="2"/>
              <w:rPr>
                <w:rFonts w:ascii="宋体" w:eastAsia="宋体" w:hAnsi="宋体" w:cs="宋体" w:hint="eastAsia"/>
                <w:szCs w:val="21"/>
                <w:lang w:val="en-GB"/>
              </w:rPr>
            </w:pPr>
            <w:r>
              <w:rPr>
                <w:rFonts w:ascii="宋体" w:eastAsia="宋体" w:hAnsi="宋体" w:cs="宋体" w:hint="eastAsia"/>
                <w:szCs w:val="21"/>
                <w:lang w:val="en-GB"/>
              </w:rPr>
              <w:t>根据响应方对本项目现状、业务建设需求的分析及理解程度、对本项目的重要性理解、重点难点的分析等内容进行综合评审。</w:t>
            </w:r>
          </w:p>
          <w:p w14:paraId="47A5583C" w14:textId="77777777" w:rsidR="00FE3BC4" w:rsidRDefault="00000000">
            <w:pPr>
              <w:pStyle w:val="Af2"/>
              <w:spacing w:line="360" w:lineRule="auto"/>
              <w:ind w:leftChars="33" w:left="69" w:rightChars="100" w:right="210" w:firstLineChars="1" w:firstLine="2"/>
              <w:rPr>
                <w:rFonts w:ascii="宋体" w:eastAsia="宋体" w:hAnsi="宋体" w:cs="宋体" w:hint="eastAsia"/>
                <w:color w:val="auto"/>
                <w:lang w:val="en-GB"/>
              </w:rPr>
            </w:pPr>
            <w:r>
              <w:rPr>
                <w:rFonts w:ascii="宋体" w:eastAsia="宋体" w:hAnsi="宋体" w:cs="宋体" w:hint="eastAsia"/>
                <w:color w:val="auto"/>
                <w:lang w:val="en-GB"/>
              </w:rPr>
              <w:t>评分标准：</w:t>
            </w:r>
          </w:p>
          <w:p w14:paraId="74EFD4DC" w14:textId="77777777" w:rsidR="00FE3BC4" w:rsidRDefault="00000000">
            <w:pPr>
              <w:pStyle w:val="Af2"/>
              <w:spacing w:line="360" w:lineRule="auto"/>
              <w:ind w:leftChars="33" w:left="69" w:rightChars="100" w:right="210" w:firstLineChars="1" w:firstLine="2"/>
              <w:rPr>
                <w:rFonts w:ascii="宋体" w:eastAsia="宋体" w:hAnsi="宋体" w:cs="宋体" w:hint="eastAsia"/>
                <w:color w:val="auto"/>
                <w:lang w:val="en-GB"/>
              </w:rPr>
            </w:pPr>
            <w:r>
              <w:rPr>
                <w:rFonts w:ascii="宋体" w:eastAsia="宋体" w:hAnsi="宋体" w:cs="宋体" w:hint="eastAsia"/>
                <w:color w:val="auto"/>
                <w:lang w:val="en-GB"/>
              </w:rPr>
              <w:t>（</w:t>
            </w:r>
            <w:r>
              <w:rPr>
                <w:rFonts w:ascii="宋体" w:eastAsia="宋体" w:hAnsi="宋体" w:cs="宋体" w:hint="eastAsia"/>
                <w:color w:val="auto"/>
              </w:rPr>
              <w:t>1</w:t>
            </w:r>
            <w:r>
              <w:rPr>
                <w:rFonts w:ascii="宋体" w:eastAsia="宋体" w:hAnsi="宋体" w:cs="宋体" w:hint="eastAsia"/>
                <w:color w:val="auto"/>
                <w:lang w:val="en-GB"/>
              </w:rPr>
              <w:t>）对采购方信息化现状充分评估，对需求有清晰的理解，对现有资源能合理利用，重点难点分析及合理化建议针对性强切实有效的，得7-10分；</w:t>
            </w:r>
          </w:p>
          <w:p w14:paraId="2F1CFE98" w14:textId="77777777" w:rsidR="00FE3BC4" w:rsidRDefault="00000000">
            <w:pPr>
              <w:pStyle w:val="Af2"/>
              <w:spacing w:line="360" w:lineRule="auto"/>
              <w:ind w:leftChars="33" w:left="69" w:rightChars="100" w:right="210" w:firstLineChars="1" w:firstLine="2"/>
              <w:rPr>
                <w:rFonts w:ascii="宋体" w:eastAsia="宋体" w:hAnsi="宋体" w:cs="宋体" w:hint="eastAsia"/>
                <w:color w:val="auto"/>
                <w:lang w:val="en-GB"/>
              </w:rPr>
            </w:pPr>
            <w:r>
              <w:rPr>
                <w:rFonts w:ascii="宋体" w:eastAsia="宋体" w:hAnsi="宋体" w:cs="宋体" w:hint="eastAsia"/>
                <w:color w:val="auto"/>
                <w:lang w:val="en-GB"/>
              </w:rPr>
              <w:t>（</w:t>
            </w:r>
            <w:r>
              <w:rPr>
                <w:rFonts w:ascii="宋体" w:eastAsia="宋体" w:hAnsi="宋体" w:cs="宋体" w:hint="eastAsia"/>
                <w:color w:val="auto"/>
              </w:rPr>
              <w:t>2</w:t>
            </w:r>
            <w:r>
              <w:rPr>
                <w:rFonts w:ascii="宋体" w:eastAsia="宋体" w:hAnsi="宋体" w:cs="宋体" w:hint="eastAsia"/>
                <w:color w:val="auto"/>
                <w:lang w:val="en-GB"/>
              </w:rPr>
              <w:t>）对本项目现状理解及业务建设需求有一定理解、针对性或合理性有所欠缺的，得4-6分；</w:t>
            </w:r>
          </w:p>
          <w:p w14:paraId="1E6F62A5" w14:textId="77777777" w:rsidR="00FE3BC4" w:rsidRDefault="00000000">
            <w:pPr>
              <w:pStyle w:val="Af2"/>
              <w:spacing w:line="360" w:lineRule="auto"/>
              <w:ind w:leftChars="33" w:left="69" w:rightChars="100" w:right="210" w:firstLineChars="1" w:firstLine="2"/>
              <w:rPr>
                <w:rFonts w:ascii="宋体" w:eastAsia="宋体" w:hAnsi="宋体" w:cs="宋体" w:hint="eastAsia"/>
                <w:color w:val="auto"/>
                <w:lang w:val="en-GB"/>
              </w:rPr>
            </w:pPr>
            <w:r>
              <w:rPr>
                <w:rFonts w:ascii="宋体" w:eastAsia="宋体" w:hAnsi="宋体" w:cs="宋体" w:hint="eastAsia"/>
                <w:color w:val="auto"/>
                <w:lang w:val="en-GB"/>
              </w:rPr>
              <w:t>（</w:t>
            </w:r>
            <w:r>
              <w:rPr>
                <w:rFonts w:ascii="宋体" w:eastAsia="宋体" w:hAnsi="宋体" w:cs="宋体" w:hint="eastAsia"/>
                <w:color w:val="auto"/>
              </w:rPr>
              <w:t>3</w:t>
            </w:r>
            <w:r>
              <w:rPr>
                <w:rFonts w:ascii="宋体" w:eastAsia="宋体" w:hAnsi="宋体" w:cs="宋体" w:hint="eastAsia"/>
                <w:color w:val="auto"/>
                <w:lang w:val="en-GB"/>
              </w:rPr>
              <w:t>）对项目需求理解内容表述模糊、重点难点及合理化建议无可操作性的，得</w:t>
            </w:r>
            <w:r>
              <w:rPr>
                <w:rFonts w:ascii="宋体" w:eastAsia="宋体" w:hAnsi="宋体" w:cs="宋体" w:hint="eastAsia"/>
                <w:color w:val="auto"/>
              </w:rPr>
              <w:t>1</w:t>
            </w:r>
            <w:r>
              <w:rPr>
                <w:rFonts w:ascii="宋体" w:eastAsia="宋体" w:hAnsi="宋体" w:cs="宋体" w:hint="eastAsia"/>
                <w:color w:val="auto"/>
                <w:lang w:val="en-GB"/>
              </w:rPr>
              <w:t>-</w:t>
            </w:r>
            <w:r>
              <w:rPr>
                <w:rFonts w:ascii="宋体" w:eastAsia="宋体" w:hAnsi="宋体" w:cs="宋体" w:hint="eastAsia"/>
                <w:color w:val="auto"/>
              </w:rPr>
              <w:t>3</w:t>
            </w:r>
            <w:r>
              <w:rPr>
                <w:rFonts w:ascii="宋体" w:eastAsia="宋体" w:hAnsi="宋体" w:cs="宋体" w:hint="eastAsia"/>
                <w:color w:val="auto"/>
                <w:lang w:val="en-GB"/>
              </w:rPr>
              <w:t>分；</w:t>
            </w:r>
          </w:p>
          <w:p w14:paraId="64A604C3" w14:textId="77777777" w:rsidR="00FE3BC4" w:rsidRDefault="00000000">
            <w:pPr>
              <w:pStyle w:val="Af2"/>
              <w:spacing w:line="360" w:lineRule="auto"/>
              <w:ind w:leftChars="33" w:left="69" w:rightChars="100" w:right="210" w:firstLineChars="1" w:firstLine="2"/>
              <w:rPr>
                <w:rFonts w:ascii="宋体" w:eastAsia="宋体" w:hAnsi="宋体" w:cs="宋体" w:hint="eastAsia"/>
                <w:color w:val="auto"/>
                <w:lang w:val="en-GB"/>
              </w:rPr>
            </w:pPr>
            <w:r>
              <w:rPr>
                <w:rFonts w:ascii="宋体" w:eastAsia="宋体" w:hAnsi="宋体" w:cs="宋体" w:hint="eastAsia"/>
                <w:color w:val="auto"/>
                <w:lang w:val="en-GB"/>
              </w:rPr>
              <w:t>（</w:t>
            </w:r>
            <w:r>
              <w:rPr>
                <w:rFonts w:ascii="宋体" w:eastAsia="宋体" w:hAnsi="宋体" w:cs="宋体" w:hint="eastAsia"/>
                <w:color w:val="auto"/>
              </w:rPr>
              <w:t>4</w:t>
            </w:r>
            <w:r>
              <w:rPr>
                <w:rFonts w:ascii="宋体" w:eastAsia="宋体" w:hAnsi="宋体" w:cs="宋体" w:hint="eastAsia"/>
                <w:color w:val="auto"/>
                <w:lang w:val="en-GB"/>
              </w:rPr>
              <w:t>）未提供不得分。</w:t>
            </w:r>
          </w:p>
          <w:p w14:paraId="0257970E" w14:textId="77777777" w:rsidR="00FE3BC4" w:rsidRDefault="00000000">
            <w:pPr>
              <w:pStyle w:val="Af2"/>
              <w:spacing w:line="360" w:lineRule="auto"/>
              <w:ind w:leftChars="33" w:left="69" w:rightChars="100" w:right="210" w:firstLineChars="1" w:firstLine="2"/>
              <w:rPr>
                <w:rFonts w:ascii="宋体" w:eastAsia="宋体" w:hAnsi="宋体" w:cs="宋体" w:hint="eastAsia"/>
                <w:color w:val="auto"/>
                <w:szCs w:val="24"/>
              </w:rPr>
            </w:pPr>
            <w:r>
              <w:rPr>
                <w:rFonts w:ascii="宋体" w:eastAsia="宋体" w:hAnsi="宋体" w:cs="Times New Roman" w:hint="eastAsia"/>
                <w:b/>
                <w:bCs/>
                <w:color w:val="auto"/>
                <w:kern w:val="0"/>
              </w:rPr>
              <w:t>3、服务方案（0-20分）</w:t>
            </w:r>
          </w:p>
          <w:p w14:paraId="49467845" w14:textId="77777777" w:rsidR="00FE3BC4" w:rsidRDefault="00000000">
            <w:pPr>
              <w:pStyle w:val="Af2"/>
              <w:spacing w:line="360" w:lineRule="auto"/>
              <w:ind w:leftChars="33" w:left="69" w:rightChars="100" w:right="210" w:firstLineChars="1" w:firstLine="2"/>
              <w:rPr>
                <w:rFonts w:ascii="宋体" w:eastAsia="宋体" w:hAnsi="宋体" w:cs="宋体" w:hint="eastAsia"/>
                <w:color w:val="auto"/>
                <w:lang w:val="en-GB"/>
              </w:rPr>
            </w:pPr>
            <w:r>
              <w:rPr>
                <w:rFonts w:ascii="宋体" w:eastAsia="宋体" w:hAnsi="宋体" w:cs="宋体" w:hint="eastAsia"/>
                <w:color w:val="auto"/>
                <w:lang w:val="en-GB"/>
              </w:rPr>
              <w:t>根据响应单位提供的服务</w:t>
            </w:r>
            <w:r>
              <w:rPr>
                <w:rFonts w:ascii="宋体" w:eastAsia="宋体" w:hAnsi="宋体" w:cs="宋体" w:hint="eastAsia"/>
                <w:color w:val="auto"/>
              </w:rPr>
              <w:t>方案</w:t>
            </w:r>
            <w:r>
              <w:rPr>
                <w:rFonts w:ascii="宋体" w:eastAsia="宋体" w:hAnsi="宋体" w:cs="宋体" w:hint="eastAsia"/>
                <w:color w:val="auto"/>
                <w:lang w:val="en-GB"/>
              </w:rPr>
              <w:t>的整体服务设想及规划、对项目现状和建设的需求的了解度及符合性情况；整体实施内容、服务内容的具体细化、质量保障措施等进行综合评审。</w:t>
            </w:r>
          </w:p>
          <w:p w14:paraId="65085DBD" w14:textId="77777777" w:rsidR="00FE3BC4" w:rsidRDefault="00000000">
            <w:pPr>
              <w:pStyle w:val="Af2"/>
              <w:spacing w:line="360" w:lineRule="auto"/>
              <w:ind w:leftChars="33" w:left="69" w:rightChars="100" w:right="210" w:firstLineChars="1" w:firstLine="2"/>
              <w:rPr>
                <w:rFonts w:ascii="宋体" w:eastAsia="宋体" w:hAnsi="宋体" w:cs="宋体" w:hint="eastAsia"/>
                <w:color w:val="auto"/>
                <w:lang w:val="en-GB"/>
              </w:rPr>
            </w:pPr>
            <w:r>
              <w:rPr>
                <w:rFonts w:ascii="宋体" w:eastAsia="宋体" w:hAnsi="宋体" w:cs="宋体" w:hint="eastAsia"/>
                <w:color w:val="auto"/>
                <w:lang w:val="en-GB"/>
              </w:rPr>
              <w:t>评分标准：</w:t>
            </w:r>
          </w:p>
          <w:p w14:paraId="3E134463" w14:textId="77777777" w:rsidR="00FE3BC4" w:rsidRDefault="00000000">
            <w:pPr>
              <w:pStyle w:val="Af2"/>
              <w:spacing w:line="360" w:lineRule="auto"/>
              <w:ind w:leftChars="33" w:left="69" w:rightChars="100" w:right="210" w:firstLineChars="1" w:firstLine="2"/>
              <w:rPr>
                <w:rFonts w:ascii="宋体" w:eastAsia="宋体" w:hAnsi="宋体" w:cs="宋体" w:hint="eastAsia"/>
                <w:color w:val="auto"/>
                <w:lang w:val="en-GB"/>
              </w:rPr>
            </w:pPr>
            <w:r>
              <w:rPr>
                <w:rFonts w:ascii="宋体" w:eastAsia="宋体" w:hAnsi="宋体" w:cs="宋体" w:hint="eastAsia"/>
                <w:color w:val="auto"/>
                <w:lang w:val="en-GB"/>
              </w:rPr>
              <w:t>（</w:t>
            </w:r>
            <w:r>
              <w:rPr>
                <w:rFonts w:ascii="宋体" w:eastAsia="宋体" w:hAnsi="宋体" w:cs="宋体" w:hint="eastAsia"/>
                <w:color w:val="auto"/>
              </w:rPr>
              <w:t>1</w:t>
            </w:r>
            <w:r>
              <w:rPr>
                <w:rFonts w:ascii="宋体" w:eastAsia="宋体" w:hAnsi="宋体" w:cs="宋体" w:hint="eastAsia"/>
                <w:color w:val="auto"/>
                <w:lang w:val="en-GB"/>
              </w:rPr>
              <w:t>）整体服务设想及规划符合项目情况且有针对性、完全了解项目现状和建设需求、服务方案包含整体实施内容、服务内容合理详细、有完善的质量保障措施、充分考虑用户个性化需求及用途的，得</w:t>
            </w:r>
            <w:r>
              <w:rPr>
                <w:rFonts w:ascii="宋体" w:eastAsia="宋体" w:hAnsi="宋体" w:cs="宋体" w:hint="eastAsia"/>
                <w:color w:val="auto"/>
              </w:rPr>
              <w:t>15</w:t>
            </w:r>
            <w:r>
              <w:rPr>
                <w:rFonts w:ascii="宋体" w:eastAsia="宋体" w:hAnsi="宋体" w:cs="宋体" w:hint="eastAsia"/>
                <w:color w:val="auto"/>
                <w:lang w:val="en-GB"/>
              </w:rPr>
              <w:t>-20分；</w:t>
            </w:r>
          </w:p>
          <w:p w14:paraId="3624A493" w14:textId="77777777" w:rsidR="00FE3BC4" w:rsidRDefault="00000000">
            <w:pPr>
              <w:pStyle w:val="Af2"/>
              <w:spacing w:line="360" w:lineRule="auto"/>
              <w:ind w:leftChars="33" w:left="69" w:rightChars="100" w:right="210" w:firstLineChars="1" w:firstLine="2"/>
              <w:rPr>
                <w:rFonts w:ascii="宋体" w:eastAsia="宋体" w:hAnsi="宋体" w:cs="宋体" w:hint="eastAsia"/>
                <w:color w:val="auto"/>
                <w:lang w:val="en-GB"/>
              </w:rPr>
            </w:pPr>
            <w:r>
              <w:rPr>
                <w:rFonts w:ascii="宋体" w:eastAsia="宋体" w:hAnsi="宋体" w:cs="宋体" w:hint="eastAsia"/>
                <w:color w:val="auto"/>
                <w:lang w:val="en-GB"/>
              </w:rPr>
              <w:t>（</w:t>
            </w:r>
            <w:r>
              <w:rPr>
                <w:rFonts w:ascii="宋体" w:eastAsia="宋体" w:hAnsi="宋体" w:cs="宋体" w:hint="eastAsia"/>
                <w:color w:val="auto"/>
              </w:rPr>
              <w:t>2</w:t>
            </w:r>
            <w:r>
              <w:rPr>
                <w:rFonts w:ascii="宋体" w:eastAsia="宋体" w:hAnsi="宋体" w:cs="宋体" w:hint="eastAsia"/>
                <w:color w:val="auto"/>
                <w:lang w:val="en-GB"/>
              </w:rPr>
              <w:t>）整体服务设想及规划基本符合项目情况、服务整体实施内容基本满足项目需求、但针对性不强或描述相对简单的，得</w:t>
            </w:r>
            <w:r>
              <w:rPr>
                <w:rFonts w:ascii="宋体" w:eastAsia="宋体" w:hAnsi="宋体" w:cs="宋体" w:hint="eastAsia"/>
                <w:color w:val="auto"/>
              </w:rPr>
              <w:t>7</w:t>
            </w:r>
            <w:r>
              <w:rPr>
                <w:rFonts w:ascii="宋体" w:eastAsia="宋体" w:hAnsi="宋体" w:cs="宋体" w:hint="eastAsia"/>
                <w:color w:val="auto"/>
                <w:lang w:val="en-GB"/>
              </w:rPr>
              <w:t>-1</w:t>
            </w:r>
            <w:r>
              <w:rPr>
                <w:rFonts w:ascii="宋体" w:eastAsia="宋体" w:hAnsi="宋体" w:cs="宋体" w:hint="eastAsia"/>
                <w:color w:val="auto"/>
              </w:rPr>
              <w:t>4</w:t>
            </w:r>
            <w:r>
              <w:rPr>
                <w:rFonts w:ascii="宋体" w:eastAsia="宋体" w:hAnsi="宋体" w:cs="宋体" w:hint="eastAsia"/>
                <w:color w:val="auto"/>
                <w:lang w:val="en-GB"/>
              </w:rPr>
              <w:t>分；</w:t>
            </w:r>
          </w:p>
          <w:p w14:paraId="09F5B79F" w14:textId="77777777" w:rsidR="00FE3BC4" w:rsidRDefault="00000000">
            <w:pPr>
              <w:pStyle w:val="Af2"/>
              <w:spacing w:line="360" w:lineRule="auto"/>
              <w:ind w:leftChars="33" w:left="69" w:rightChars="100" w:right="210" w:firstLineChars="1" w:firstLine="2"/>
              <w:rPr>
                <w:rFonts w:ascii="宋体" w:eastAsia="宋体" w:hAnsi="宋体" w:cs="宋体" w:hint="eastAsia"/>
                <w:b/>
                <w:color w:val="auto"/>
              </w:rPr>
            </w:pPr>
            <w:r>
              <w:rPr>
                <w:rFonts w:ascii="宋体" w:eastAsia="宋体" w:hAnsi="宋体" w:cs="宋体" w:hint="eastAsia"/>
                <w:color w:val="auto"/>
                <w:lang w:val="en-GB"/>
              </w:rPr>
              <w:t>（</w:t>
            </w:r>
            <w:r>
              <w:rPr>
                <w:rFonts w:ascii="宋体" w:eastAsia="宋体" w:hAnsi="宋体" w:cs="宋体" w:hint="eastAsia"/>
                <w:color w:val="auto"/>
              </w:rPr>
              <w:t>3</w:t>
            </w:r>
            <w:r>
              <w:rPr>
                <w:rFonts w:ascii="宋体" w:eastAsia="宋体" w:hAnsi="宋体" w:cs="宋体" w:hint="eastAsia"/>
                <w:color w:val="auto"/>
                <w:lang w:val="en-GB"/>
              </w:rPr>
              <w:t>）服务方案尚存在部分缺陷的，得</w:t>
            </w:r>
            <w:r>
              <w:rPr>
                <w:rFonts w:ascii="宋体" w:eastAsia="宋体" w:hAnsi="宋体" w:cs="宋体" w:hint="eastAsia"/>
                <w:color w:val="auto"/>
              </w:rPr>
              <w:t>0</w:t>
            </w:r>
            <w:r>
              <w:rPr>
                <w:rFonts w:ascii="宋体" w:eastAsia="宋体" w:hAnsi="宋体" w:cs="宋体" w:hint="eastAsia"/>
                <w:color w:val="auto"/>
                <w:lang w:val="en-GB"/>
              </w:rPr>
              <w:t>-</w:t>
            </w:r>
            <w:r>
              <w:rPr>
                <w:rFonts w:ascii="宋体" w:eastAsia="宋体" w:hAnsi="宋体" w:cs="宋体" w:hint="eastAsia"/>
                <w:color w:val="auto"/>
              </w:rPr>
              <w:t>6</w:t>
            </w:r>
            <w:r>
              <w:rPr>
                <w:rFonts w:ascii="宋体" w:eastAsia="宋体" w:hAnsi="宋体" w:cs="宋体" w:hint="eastAsia"/>
                <w:color w:val="auto"/>
                <w:lang w:val="en-GB"/>
              </w:rPr>
              <w:t>分。</w:t>
            </w:r>
          </w:p>
        </w:tc>
      </w:tr>
      <w:tr w:rsidR="00FE3BC4" w14:paraId="0FDE9858" w14:textId="77777777">
        <w:trPr>
          <w:trHeight w:val="841"/>
          <w:jc w:val="center"/>
        </w:trPr>
        <w:tc>
          <w:tcPr>
            <w:tcW w:w="799" w:type="dxa"/>
            <w:noWrap/>
            <w:tcMar>
              <w:top w:w="0" w:type="dxa"/>
              <w:left w:w="0" w:type="dxa"/>
              <w:bottom w:w="0" w:type="dxa"/>
              <w:right w:w="0" w:type="dxa"/>
            </w:tcMar>
            <w:vAlign w:val="center"/>
          </w:tcPr>
          <w:p w14:paraId="2FDF427F" w14:textId="77777777" w:rsidR="00FE3BC4" w:rsidRDefault="00000000">
            <w:pPr>
              <w:pStyle w:val="Af2"/>
              <w:spacing w:line="400" w:lineRule="exact"/>
              <w:jc w:val="center"/>
              <w:rPr>
                <w:rFonts w:ascii="宋体" w:eastAsia="宋体" w:hAnsi="宋体" w:cs="Times New Roman" w:hint="eastAsia"/>
                <w:bCs/>
                <w:color w:val="auto"/>
                <w:kern w:val="0"/>
              </w:rPr>
            </w:pPr>
            <w:r>
              <w:rPr>
                <w:rFonts w:ascii="宋体" w:eastAsia="宋体" w:hAnsi="宋体" w:cs="Times New Roman"/>
                <w:bCs/>
                <w:color w:val="auto"/>
                <w:kern w:val="0"/>
              </w:rPr>
              <w:lastRenderedPageBreak/>
              <w:t>4</w:t>
            </w:r>
          </w:p>
        </w:tc>
        <w:tc>
          <w:tcPr>
            <w:tcW w:w="1338" w:type="dxa"/>
            <w:noWrap/>
            <w:tcMar>
              <w:top w:w="0" w:type="dxa"/>
              <w:left w:w="0" w:type="dxa"/>
              <w:bottom w:w="0" w:type="dxa"/>
              <w:right w:w="0" w:type="dxa"/>
            </w:tcMar>
            <w:vAlign w:val="center"/>
          </w:tcPr>
          <w:p w14:paraId="26ADC7C5" w14:textId="77777777" w:rsidR="00FE3BC4" w:rsidRDefault="00000000">
            <w:pPr>
              <w:pStyle w:val="Af2"/>
              <w:spacing w:line="400" w:lineRule="exact"/>
              <w:jc w:val="center"/>
              <w:rPr>
                <w:rFonts w:ascii="宋体" w:eastAsia="宋体" w:hAnsi="宋体" w:cs="Times New Roman" w:hint="eastAsia"/>
                <w:b/>
                <w:bCs/>
                <w:color w:val="auto"/>
                <w:kern w:val="0"/>
              </w:rPr>
            </w:pPr>
            <w:r>
              <w:rPr>
                <w:rFonts w:ascii="宋体" w:eastAsia="宋体" w:hAnsi="宋体" w:cs="Times New Roman" w:hint="eastAsia"/>
                <w:b/>
                <w:bCs/>
                <w:color w:val="auto"/>
                <w:kern w:val="0"/>
              </w:rPr>
              <w:t>项目团队</w:t>
            </w:r>
          </w:p>
        </w:tc>
        <w:tc>
          <w:tcPr>
            <w:tcW w:w="851" w:type="dxa"/>
            <w:noWrap/>
            <w:tcMar>
              <w:top w:w="0" w:type="dxa"/>
              <w:left w:w="0" w:type="dxa"/>
              <w:bottom w:w="0" w:type="dxa"/>
              <w:right w:w="0" w:type="dxa"/>
            </w:tcMar>
            <w:vAlign w:val="center"/>
          </w:tcPr>
          <w:p w14:paraId="5C0F5802" w14:textId="77777777" w:rsidR="00FE3BC4" w:rsidRDefault="00000000">
            <w:pPr>
              <w:pStyle w:val="Af2"/>
              <w:spacing w:line="400" w:lineRule="exact"/>
              <w:jc w:val="center"/>
              <w:rPr>
                <w:rFonts w:ascii="宋体" w:eastAsia="宋体" w:hAnsi="宋体" w:cs="Times New Roman" w:hint="eastAsia"/>
                <w:b/>
                <w:bCs/>
                <w:color w:val="auto"/>
                <w:kern w:val="0"/>
              </w:rPr>
            </w:pPr>
            <w:r>
              <w:rPr>
                <w:rFonts w:ascii="宋体" w:eastAsia="宋体" w:hAnsi="宋体" w:cs="Times New Roman" w:hint="eastAsia"/>
                <w:b/>
                <w:bCs/>
                <w:color w:val="auto"/>
                <w:kern w:val="0"/>
              </w:rPr>
              <w:t>10</w:t>
            </w:r>
            <w:r>
              <w:rPr>
                <w:rFonts w:ascii="宋体" w:eastAsia="宋体" w:hAnsi="宋体" w:cs="Times New Roman"/>
                <w:b/>
                <w:bCs/>
                <w:color w:val="auto"/>
                <w:kern w:val="0"/>
              </w:rPr>
              <w:t>分</w:t>
            </w:r>
          </w:p>
        </w:tc>
        <w:tc>
          <w:tcPr>
            <w:tcW w:w="6945" w:type="dxa"/>
            <w:noWrap/>
            <w:tcMar>
              <w:top w:w="0" w:type="dxa"/>
              <w:left w:w="0" w:type="dxa"/>
              <w:bottom w:w="0" w:type="dxa"/>
              <w:right w:w="0" w:type="dxa"/>
            </w:tcMar>
            <w:vAlign w:val="center"/>
          </w:tcPr>
          <w:p w14:paraId="49138C39" w14:textId="77777777" w:rsidR="00FE3BC4" w:rsidRDefault="00000000">
            <w:pPr>
              <w:spacing w:line="360" w:lineRule="auto"/>
              <w:ind w:leftChars="33" w:left="69" w:rightChars="32" w:right="67"/>
              <w:rPr>
                <w:rFonts w:ascii="宋体" w:hAnsi="宋体" w:hint="eastAsia"/>
                <w:b/>
                <w:szCs w:val="21"/>
              </w:rPr>
            </w:pPr>
            <w:r>
              <w:rPr>
                <w:rFonts w:ascii="宋体" w:hAnsi="宋体" w:hint="eastAsia"/>
                <w:b/>
                <w:szCs w:val="21"/>
              </w:rPr>
              <w:t>1</w:t>
            </w:r>
            <w:r>
              <w:rPr>
                <w:rFonts w:ascii="宋体" w:hAnsi="宋体" w:hint="eastAsia"/>
                <w:b/>
                <w:szCs w:val="21"/>
              </w:rPr>
              <w:t>、项目经理要求（</w:t>
            </w:r>
            <w:r>
              <w:rPr>
                <w:rFonts w:ascii="宋体" w:hAnsi="宋体"/>
                <w:b/>
                <w:szCs w:val="21"/>
              </w:rPr>
              <w:t>2</w:t>
            </w:r>
            <w:r>
              <w:rPr>
                <w:rFonts w:ascii="宋体" w:hAnsi="宋体" w:hint="eastAsia"/>
                <w:b/>
                <w:szCs w:val="21"/>
              </w:rPr>
              <w:t>-</w:t>
            </w:r>
            <w:r>
              <w:rPr>
                <w:rFonts w:ascii="宋体" w:hAnsi="宋体"/>
                <w:b/>
                <w:szCs w:val="21"/>
              </w:rPr>
              <w:t>5</w:t>
            </w:r>
            <w:r>
              <w:rPr>
                <w:rFonts w:ascii="宋体" w:hAnsi="宋体" w:hint="eastAsia"/>
                <w:b/>
                <w:szCs w:val="21"/>
              </w:rPr>
              <w:t>分）</w:t>
            </w:r>
          </w:p>
          <w:p w14:paraId="69791533" w14:textId="77777777" w:rsidR="00FE3BC4" w:rsidRDefault="00000000">
            <w:pPr>
              <w:spacing w:line="360" w:lineRule="auto"/>
              <w:ind w:leftChars="33" w:left="69" w:rightChars="100" w:right="210" w:firstLineChars="1" w:firstLine="2"/>
              <w:rPr>
                <w:rFonts w:ascii="宋体" w:eastAsia="宋体" w:hAnsi="宋体" w:cs="宋体" w:hint="eastAsia"/>
                <w:szCs w:val="21"/>
                <w:lang w:val="en-GB"/>
              </w:rPr>
            </w:pPr>
            <w:r>
              <w:rPr>
                <w:rFonts w:ascii="宋体" w:eastAsia="宋体" w:hAnsi="宋体" w:cs="宋体" w:hint="eastAsia"/>
                <w:szCs w:val="21"/>
                <w:lang w:val="en-GB"/>
              </w:rPr>
              <w:t>根据项目经理的学历、工作经验（相关工作时间）、工作业绩（相关工作业绩）管理能力，及所提供的管理资格证书等进行综合评审。</w:t>
            </w:r>
          </w:p>
          <w:p w14:paraId="35C47062" w14:textId="77777777" w:rsidR="00FE3BC4" w:rsidRDefault="00000000">
            <w:pPr>
              <w:pStyle w:val="Af2"/>
              <w:spacing w:line="360" w:lineRule="auto"/>
              <w:ind w:leftChars="33" w:left="69" w:rightChars="100" w:right="210" w:firstLineChars="1" w:firstLine="2"/>
              <w:rPr>
                <w:rFonts w:ascii="宋体" w:eastAsia="宋体" w:hAnsi="宋体" w:cs="宋体" w:hint="eastAsia"/>
                <w:lang w:val="en-GB"/>
              </w:rPr>
            </w:pPr>
            <w:r>
              <w:rPr>
                <w:rFonts w:ascii="宋体" w:eastAsia="宋体" w:hAnsi="宋体" w:cs="宋体" w:hint="eastAsia"/>
                <w:lang w:val="en-GB"/>
              </w:rPr>
              <w:t>评分标准：</w:t>
            </w:r>
          </w:p>
          <w:p w14:paraId="7C821A44" w14:textId="77777777" w:rsidR="00FE3BC4" w:rsidRDefault="00000000">
            <w:pPr>
              <w:pStyle w:val="Af2"/>
              <w:numPr>
                <w:ilvl w:val="0"/>
                <w:numId w:val="4"/>
              </w:numPr>
              <w:spacing w:line="360" w:lineRule="auto"/>
              <w:ind w:leftChars="33" w:left="69" w:rightChars="100" w:right="210" w:firstLineChars="1" w:firstLine="2"/>
              <w:rPr>
                <w:rFonts w:ascii="宋体" w:eastAsia="宋体" w:hAnsi="宋体" w:cs="宋体" w:hint="eastAsia"/>
                <w:lang w:val="en-GB"/>
              </w:rPr>
            </w:pPr>
            <w:r>
              <w:rPr>
                <w:rFonts w:ascii="宋体" w:eastAsia="宋体" w:hAnsi="宋体" w:cs="宋体" w:hint="eastAsia"/>
                <w:lang w:val="en-GB"/>
              </w:rPr>
              <w:t>项目经理管理经验丰富、业务能力强、资质证明文件齐全的得4-5分；</w:t>
            </w:r>
          </w:p>
          <w:p w14:paraId="39412A91" w14:textId="77777777" w:rsidR="00FE3BC4" w:rsidRDefault="00000000">
            <w:pPr>
              <w:pStyle w:val="Af2"/>
              <w:numPr>
                <w:ilvl w:val="0"/>
                <w:numId w:val="4"/>
              </w:numPr>
              <w:spacing w:line="360" w:lineRule="auto"/>
              <w:ind w:leftChars="33" w:left="69" w:rightChars="100" w:right="210" w:firstLineChars="1" w:firstLine="2"/>
              <w:rPr>
                <w:rFonts w:ascii="宋体" w:eastAsia="宋体" w:hAnsi="宋体" w:hint="eastAsia"/>
              </w:rPr>
            </w:pPr>
            <w:r>
              <w:rPr>
                <w:rFonts w:ascii="宋体" w:eastAsia="宋体" w:hAnsi="宋体" w:cs="宋体" w:hint="eastAsia"/>
                <w:lang w:val="en-GB"/>
              </w:rPr>
              <w:t>管理经验及业务能力一般或证明文件有缺失的得</w:t>
            </w:r>
            <w:r>
              <w:rPr>
                <w:rFonts w:ascii="宋体" w:eastAsia="宋体" w:hAnsi="宋体" w:cs="宋体" w:hint="eastAsia"/>
              </w:rPr>
              <w:t>1</w:t>
            </w:r>
            <w:r>
              <w:rPr>
                <w:rFonts w:ascii="宋体" w:eastAsia="宋体" w:hAnsi="宋体" w:cs="宋体" w:hint="eastAsia"/>
                <w:lang w:val="en-GB"/>
              </w:rPr>
              <w:t>-3分。</w:t>
            </w:r>
          </w:p>
          <w:p w14:paraId="0D44564A" w14:textId="77777777" w:rsidR="00FE3BC4" w:rsidRDefault="00000000">
            <w:pPr>
              <w:pStyle w:val="Af2"/>
              <w:numPr>
                <w:ilvl w:val="0"/>
                <w:numId w:val="4"/>
              </w:numPr>
              <w:spacing w:line="360" w:lineRule="auto"/>
              <w:ind w:leftChars="33" w:left="69" w:rightChars="100" w:right="210" w:firstLineChars="1" w:firstLine="2"/>
              <w:rPr>
                <w:rFonts w:ascii="宋体" w:eastAsia="宋体" w:hAnsi="宋体" w:hint="eastAsia"/>
              </w:rPr>
            </w:pPr>
            <w:r>
              <w:rPr>
                <w:rFonts w:ascii="宋体" w:eastAsia="宋体" w:hAnsi="宋体" w:cs="宋体" w:hint="eastAsia"/>
                <w:color w:val="auto"/>
                <w:lang w:val="en-GB"/>
              </w:rPr>
              <w:t>未提供不得分。</w:t>
            </w:r>
          </w:p>
          <w:p w14:paraId="05B0AC47" w14:textId="77777777" w:rsidR="00FE3BC4" w:rsidRDefault="00000000">
            <w:pPr>
              <w:spacing w:line="360" w:lineRule="auto"/>
              <w:ind w:leftChars="33" w:left="69" w:rightChars="32" w:right="67"/>
              <w:rPr>
                <w:rFonts w:ascii="宋体" w:hAnsi="宋体" w:hint="eastAsia"/>
                <w:b/>
                <w:szCs w:val="21"/>
              </w:rPr>
            </w:pPr>
            <w:r>
              <w:rPr>
                <w:rFonts w:ascii="宋体" w:hAnsi="宋体" w:hint="eastAsia"/>
                <w:b/>
                <w:szCs w:val="21"/>
              </w:rPr>
              <w:t>2</w:t>
            </w:r>
            <w:r>
              <w:rPr>
                <w:rFonts w:ascii="宋体" w:hAnsi="宋体" w:hint="eastAsia"/>
                <w:b/>
                <w:szCs w:val="21"/>
              </w:rPr>
              <w:t>、项目实施团队要求（</w:t>
            </w:r>
            <w:r>
              <w:rPr>
                <w:rFonts w:ascii="宋体" w:hAnsi="宋体" w:hint="eastAsia"/>
                <w:b/>
                <w:szCs w:val="21"/>
              </w:rPr>
              <w:t>2-5</w:t>
            </w:r>
            <w:r>
              <w:rPr>
                <w:rFonts w:ascii="宋体" w:hAnsi="宋体" w:hint="eastAsia"/>
                <w:b/>
                <w:szCs w:val="21"/>
              </w:rPr>
              <w:t>分）</w:t>
            </w:r>
          </w:p>
          <w:p w14:paraId="2BA29D29" w14:textId="77777777" w:rsidR="00FE3BC4" w:rsidRDefault="00000000">
            <w:pPr>
              <w:spacing w:line="360" w:lineRule="auto"/>
              <w:ind w:leftChars="33" w:left="69" w:rightChars="100" w:right="210" w:firstLineChars="1" w:firstLine="2"/>
              <w:rPr>
                <w:rFonts w:ascii="宋体" w:eastAsia="宋体" w:hAnsi="宋体" w:cs="宋体" w:hint="eastAsia"/>
                <w:szCs w:val="21"/>
                <w:lang w:val="en-GB"/>
              </w:rPr>
            </w:pPr>
            <w:r>
              <w:rPr>
                <w:rFonts w:ascii="宋体" w:eastAsia="宋体" w:hAnsi="宋体" w:cs="宋体" w:hint="eastAsia"/>
                <w:szCs w:val="21"/>
                <w:lang w:val="en-GB"/>
              </w:rPr>
              <w:t>根据所投入内部机构及工作人员构成情况，包括项目组人员的配备结构及数量（应有详细列表说明）、根据各人员配置是否充足合理，分工是否明确，人员简历、人员素质、管理和技术能力等进行综合评审。</w:t>
            </w:r>
          </w:p>
          <w:p w14:paraId="41D00E67" w14:textId="77777777" w:rsidR="00FE3BC4" w:rsidRDefault="00000000">
            <w:pPr>
              <w:pStyle w:val="Af2"/>
              <w:spacing w:line="360" w:lineRule="auto"/>
              <w:ind w:leftChars="33" w:left="69" w:rightChars="100" w:right="210" w:firstLineChars="1" w:firstLine="2"/>
              <w:rPr>
                <w:rFonts w:ascii="宋体" w:eastAsia="宋体" w:hAnsi="宋体" w:cs="宋体" w:hint="eastAsia"/>
                <w:lang w:val="en-GB"/>
              </w:rPr>
            </w:pPr>
            <w:r>
              <w:rPr>
                <w:rFonts w:ascii="宋体" w:eastAsia="宋体" w:hAnsi="宋体" w:cs="宋体" w:hint="eastAsia"/>
                <w:lang w:val="en-GB"/>
              </w:rPr>
              <w:t>评分标准：</w:t>
            </w:r>
          </w:p>
          <w:p w14:paraId="63B5868E" w14:textId="77777777" w:rsidR="00FE3BC4" w:rsidRDefault="00000000">
            <w:pPr>
              <w:pStyle w:val="Af2"/>
              <w:numPr>
                <w:ilvl w:val="0"/>
                <w:numId w:val="5"/>
              </w:numPr>
              <w:spacing w:line="360" w:lineRule="auto"/>
              <w:ind w:leftChars="33" w:left="69" w:rightChars="100" w:right="210" w:firstLineChars="1" w:firstLine="2"/>
              <w:rPr>
                <w:rFonts w:ascii="宋体" w:eastAsia="宋体" w:hAnsi="宋体" w:cs="宋体" w:hint="eastAsia"/>
                <w:lang w:val="en-GB"/>
              </w:rPr>
            </w:pPr>
            <w:r>
              <w:rPr>
                <w:rFonts w:ascii="宋体" w:eastAsia="宋体" w:hAnsi="宋体" w:cs="宋体" w:hint="eastAsia"/>
                <w:lang w:val="en-GB"/>
              </w:rPr>
              <w:t>满足或高于上述服务人员要求，且分工明确、人员经验丰富、业务能力强、证明资料提供齐全的得4-5分；</w:t>
            </w:r>
          </w:p>
          <w:p w14:paraId="0CCC514A" w14:textId="77777777" w:rsidR="00FE3BC4" w:rsidRDefault="00000000">
            <w:pPr>
              <w:pStyle w:val="Af2"/>
              <w:numPr>
                <w:ilvl w:val="0"/>
                <w:numId w:val="5"/>
              </w:numPr>
              <w:spacing w:line="360" w:lineRule="auto"/>
              <w:ind w:leftChars="33" w:left="69" w:rightChars="100" w:right="210" w:firstLineChars="1" w:firstLine="2"/>
              <w:rPr>
                <w:rFonts w:ascii="宋体" w:eastAsia="宋体" w:hAnsi="宋体" w:cs="Times New Roman" w:hint="eastAsia"/>
                <w:bCs/>
                <w:color w:val="auto"/>
                <w:kern w:val="0"/>
              </w:rPr>
            </w:pPr>
            <w:r>
              <w:rPr>
                <w:rFonts w:ascii="宋体" w:eastAsia="宋体" w:hAnsi="宋体" w:cs="宋体" w:hint="eastAsia"/>
                <w:lang w:val="en-GB"/>
              </w:rPr>
              <w:t>项目组人员配置基本满足上述服务人员要求，但尚存在部分欠缺或证明文件提供不齐全的得</w:t>
            </w:r>
            <w:r>
              <w:rPr>
                <w:rFonts w:ascii="宋体" w:eastAsia="宋体" w:hAnsi="宋体" w:cs="宋体" w:hint="eastAsia"/>
              </w:rPr>
              <w:t>1</w:t>
            </w:r>
            <w:r>
              <w:rPr>
                <w:rFonts w:ascii="宋体" w:eastAsia="宋体" w:hAnsi="宋体" w:cs="宋体" w:hint="eastAsia"/>
                <w:lang w:val="en-GB"/>
              </w:rPr>
              <w:t>-3分。</w:t>
            </w:r>
          </w:p>
          <w:p w14:paraId="49CA197A" w14:textId="77777777" w:rsidR="00FE3BC4" w:rsidRDefault="00000000">
            <w:pPr>
              <w:pStyle w:val="Af2"/>
              <w:numPr>
                <w:ilvl w:val="0"/>
                <w:numId w:val="5"/>
              </w:numPr>
              <w:spacing w:line="360" w:lineRule="auto"/>
              <w:ind w:leftChars="33" w:left="69" w:rightChars="100" w:right="210" w:firstLineChars="1" w:firstLine="2"/>
              <w:rPr>
                <w:rFonts w:ascii="宋体" w:eastAsia="宋体" w:hAnsi="宋体" w:cs="Times New Roman" w:hint="eastAsia"/>
                <w:bCs/>
                <w:color w:val="auto"/>
                <w:kern w:val="0"/>
              </w:rPr>
            </w:pPr>
            <w:r>
              <w:rPr>
                <w:rFonts w:ascii="宋体" w:eastAsia="宋体" w:hAnsi="宋体" w:cs="宋体" w:hint="eastAsia"/>
                <w:color w:val="auto"/>
                <w:lang w:val="en-GB"/>
              </w:rPr>
              <w:t>未提供不得分。</w:t>
            </w:r>
          </w:p>
        </w:tc>
      </w:tr>
      <w:tr w:rsidR="00FE3BC4" w14:paraId="5C283B47" w14:textId="77777777">
        <w:trPr>
          <w:trHeight w:val="1351"/>
          <w:jc w:val="center"/>
        </w:trPr>
        <w:tc>
          <w:tcPr>
            <w:tcW w:w="799" w:type="dxa"/>
            <w:noWrap/>
            <w:tcMar>
              <w:top w:w="0" w:type="dxa"/>
              <w:left w:w="0" w:type="dxa"/>
              <w:bottom w:w="0" w:type="dxa"/>
              <w:right w:w="0" w:type="dxa"/>
            </w:tcMar>
            <w:vAlign w:val="center"/>
          </w:tcPr>
          <w:p w14:paraId="3F9B6416" w14:textId="77777777" w:rsidR="00FE3BC4" w:rsidRDefault="00000000">
            <w:pPr>
              <w:pStyle w:val="Af2"/>
              <w:spacing w:line="400" w:lineRule="exact"/>
              <w:jc w:val="center"/>
              <w:rPr>
                <w:rFonts w:ascii="宋体" w:eastAsia="宋体" w:hAnsi="宋体" w:cs="Times New Roman" w:hint="eastAsia"/>
                <w:bCs/>
                <w:color w:val="auto"/>
                <w:kern w:val="0"/>
              </w:rPr>
            </w:pPr>
            <w:r>
              <w:rPr>
                <w:rFonts w:ascii="宋体" w:eastAsia="宋体" w:hAnsi="宋体" w:cs="Times New Roman" w:hint="eastAsia"/>
                <w:bCs/>
                <w:color w:val="auto"/>
                <w:kern w:val="0"/>
              </w:rPr>
              <w:t>5</w:t>
            </w:r>
          </w:p>
        </w:tc>
        <w:tc>
          <w:tcPr>
            <w:tcW w:w="1338" w:type="dxa"/>
            <w:noWrap/>
            <w:tcMar>
              <w:top w:w="0" w:type="dxa"/>
              <w:left w:w="0" w:type="dxa"/>
              <w:bottom w:w="0" w:type="dxa"/>
              <w:right w:w="0" w:type="dxa"/>
            </w:tcMar>
            <w:vAlign w:val="center"/>
          </w:tcPr>
          <w:p w14:paraId="76DE0FF2" w14:textId="77777777" w:rsidR="00FE3BC4" w:rsidRDefault="00000000">
            <w:pPr>
              <w:jc w:val="center"/>
              <w:rPr>
                <w:rFonts w:ascii="宋体" w:eastAsia="宋体" w:hAnsi="宋体" w:hint="eastAsia"/>
                <w:b/>
                <w:szCs w:val="21"/>
              </w:rPr>
            </w:pPr>
            <w:r>
              <w:rPr>
                <w:rFonts w:ascii="宋体" w:hAnsi="宋体" w:cs="宋体" w:hint="eastAsia"/>
                <w:b/>
                <w:szCs w:val="24"/>
              </w:rPr>
              <w:t>服务承诺及售后服务方案</w:t>
            </w:r>
          </w:p>
        </w:tc>
        <w:tc>
          <w:tcPr>
            <w:tcW w:w="851" w:type="dxa"/>
            <w:noWrap/>
            <w:tcMar>
              <w:top w:w="0" w:type="dxa"/>
              <w:left w:w="0" w:type="dxa"/>
              <w:bottom w:w="0" w:type="dxa"/>
              <w:right w:w="0" w:type="dxa"/>
            </w:tcMar>
            <w:vAlign w:val="center"/>
          </w:tcPr>
          <w:p w14:paraId="492F7131" w14:textId="77777777" w:rsidR="00FE3BC4" w:rsidRDefault="00000000">
            <w:pPr>
              <w:jc w:val="center"/>
              <w:rPr>
                <w:rFonts w:ascii="宋体" w:hAnsi="宋体" w:hint="eastAsia"/>
                <w:b/>
                <w:szCs w:val="21"/>
              </w:rPr>
            </w:pPr>
            <w:r>
              <w:rPr>
                <w:rFonts w:ascii="宋体" w:hAnsi="宋体"/>
                <w:b/>
                <w:szCs w:val="21"/>
              </w:rPr>
              <w:t>10</w:t>
            </w:r>
            <w:r>
              <w:rPr>
                <w:rFonts w:ascii="宋体" w:hAnsi="宋体" w:hint="eastAsia"/>
                <w:b/>
                <w:szCs w:val="21"/>
              </w:rPr>
              <w:t>分</w:t>
            </w:r>
          </w:p>
        </w:tc>
        <w:tc>
          <w:tcPr>
            <w:tcW w:w="6945" w:type="dxa"/>
            <w:noWrap/>
            <w:tcMar>
              <w:top w:w="0" w:type="dxa"/>
              <w:left w:w="0" w:type="dxa"/>
              <w:bottom w:w="0" w:type="dxa"/>
              <w:right w:w="0" w:type="dxa"/>
            </w:tcMar>
            <w:vAlign w:val="center"/>
          </w:tcPr>
          <w:p w14:paraId="6FBA4015" w14:textId="77777777" w:rsidR="00FE3BC4" w:rsidRDefault="00000000">
            <w:pPr>
              <w:spacing w:line="360" w:lineRule="auto"/>
              <w:ind w:leftChars="33" w:left="69" w:rightChars="100" w:right="210" w:firstLineChars="1" w:firstLine="2"/>
              <w:rPr>
                <w:rFonts w:ascii="宋体" w:eastAsia="宋体" w:hAnsi="宋体" w:cs="宋体" w:hint="eastAsia"/>
                <w:szCs w:val="21"/>
                <w:lang w:val="en-GB"/>
              </w:rPr>
            </w:pPr>
            <w:r>
              <w:rPr>
                <w:rFonts w:ascii="宋体" w:eastAsia="宋体" w:hAnsi="宋体" w:cs="宋体" w:hint="eastAsia"/>
                <w:szCs w:val="21"/>
                <w:lang w:val="en-GB"/>
              </w:rPr>
              <w:t>根据响应单位提供的服务质量保障承诺、服务响应时间、</w:t>
            </w:r>
            <w:r>
              <w:rPr>
                <w:rFonts w:ascii="宋体" w:eastAsia="宋体" w:hAnsi="宋体" w:cs="宋体" w:hint="eastAsia"/>
                <w:szCs w:val="21"/>
              </w:rPr>
              <w:t>售后服务</w:t>
            </w:r>
            <w:r>
              <w:rPr>
                <w:rFonts w:ascii="宋体" w:eastAsia="宋体" w:hAnsi="宋体" w:cs="宋体" w:hint="eastAsia"/>
                <w:szCs w:val="21"/>
                <w:lang w:val="en-GB"/>
              </w:rPr>
              <w:t>方案、</w:t>
            </w:r>
            <w:r>
              <w:rPr>
                <w:rFonts w:ascii="宋体" w:eastAsia="宋体" w:hAnsi="宋体" w:cs="宋体" w:hint="eastAsia"/>
                <w:szCs w:val="21"/>
              </w:rPr>
              <w:t>故障处理</w:t>
            </w:r>
            <w:r>
              <w:rPr>
                <w:rFonts w:ascii="宋体" w:eastAsia="宋体" w:hAnsi="宋体" w:cs="宋体" w:hint="eastAsia"/>
                <w:szCs w:val="21"/>
                <w:lang w:val="en-GB"/>
              </w:rPr>
              <w:t>等内容进行综合评审。进行综合评审。</w:t>
            </w:r>
          </w:p>
          <w:p w14:paraId="4E254EC3" w14:textId="77777777" w:rsidR="00FE3BC4" w:rsidRDefault="00000000">
            <w:pPr>
              <w:spacing w:line="360" w:lineRule="auto"/>
              <w:ind w:leftChars="33" w:left="69" w:rightChars="100" w:right="210" w:firstLineChars="1" w:firstLine="2"/>
              <w:rPr>
                <w:rFonts w:ascii="宋体" w:eastAsia="宋体" w:hAnsi="宋体" w:cs="宋体" w:hint="eastAsia"/>
                <w:szCs w:val="21"/>
                <w:lang w:val="en-GB"/>
              </w:rPr>
            </w:pPr>
            <w:r>
              <w:rPr>
                <w:rFonts w:ascii="宋体" w:eastAsia="宋体" w:hAnsi="宋体" w:cs="宋体" w:hint="eastAsia"/>
                <w:szCs w:val="21"/>
                <w:lang w:val="en-GB"/>
              </w:rPr>
              <w:t>评分标准：</w:t>
            </w:r>
          </w:p>
          <w:p w14:paraId="2CA65893" w14:textId="77777777" w:rsidR="00FE3BC4" w:rsidRDefault="00000000">
            <w:pPr>
              <w:numPr>
                <w:ilvl w:val="0"/>
                <w:numId w:val="6"/>
              </w:numPr>
              <w:spacing w:line="360" w:lineRule="auto"/>
              <w:ind w:leftChars="33" w:left="69" w:rightChars="100" w:right="210" w:firstLineChars="1" w:firstLine="2"/>
              <w:rPr>
                <w:rFonts w:ascii="宋体" w:eastAsia="宋体" w:hAnsi="宋体" w:cs="宋体" w:hint="eastAsia"/>
                <w:szCs w:val="21"/>
                <w:lang w:val="en-GB"/>
              </w:rPr>
            </w:pPr>
            <w:r>
              <w:rPr>
                <w:rFonts w:ascii="宋体" w:eastAsia="宋体" w:hAnsi="宋体" w:cs="宋体" w:hint="eastAsia"/>
                <w:szCs w:val="21"/>
                <w:lang w:val="en-GB"/>
              </w:rPr>
              <w:t>所提供的服务方案内容完善、针对性强、具备与本项目相关的技术支持服务能力、响应服务满足或高于采购需求的、培训方案细化的，得8-10分；</w:t>
            </w:r>
          </w:p>
          <w:p w14:paraId="6D4EDE30" w14:textId="77777777" w:rsidR="00FE3BC4" w:rsidRDefault="00000000">
            <w:pPr>
              <w:numPr>
                <w:ilvl w:val="0"/>
                <w:numId w:val="6"/>
              </w:numPr>
              <w:spacing w:line="360" w:lineRule="auto"/>
              <w:ind w:leftChars="33" w:left="69" w:rightChars="100" w:right="210" w:firstLineChars="1" w:firstLine="2"/>
              <w:rPr>
                <w:rFonts w:ascii="宋体" w:hAnsi="宋体" w:hint="eastAsia"/>
                <w:szCs w:val="21"/>
              </w:rPr>
            </w:pPr>
            <w:r>
              <w:rPr>
                <w:rFonts w:ascii="宋体" w:eastAsia="宋体" w:hAnsi="宋体" w:cs="宋体" w:hint="eastAsia"/>
                <w:szCs w:val="21"/>
                <w:lang w:val="en-GB"/>
              </w:rPr>
              <w:t>服务方案基本满足采购需求，但技术支持服务能力存在一定不足或内容</w:t>
            </w:r>
            <w:proofErr w:type="gramStart"/>
            <w:r>
              <w:rPr>
                <w:rFonts w:ascii="宋体" w:eastAsia="宋体" w:hAnsi="宋体" w:cs="宋体" w:hint="eastAsia"/>
                <w:szCs w:val="21"/>
                <w:lang w:val="en-GB"/>
              </w:rPr>
              <w:t>表述较</w:t>
            </w:r>
            <w:proofErr w:type="gramEnd"/>
            <w:r>
              <w:rPr>
                <w:rFonts w:ascii="宋体" w:eastAsia="宋体" w:hAnsi="宋体" w:cs="宋体" w:hint="eastAsia"/>
                <w:szCs w:val="21"/>
                <w:lang w:val="en-GB"/>
              </w:rPr>
              <w:t>简单的，得4-7分；</w:t>
            </w:r>
          </w:p>
          <w:p w14:paraId="0394BC1F" w14:textId="77777777" w:rsidR="00FE3BC4" w:rsidRDefault="00000000">
            <w:pPr>
              <w:spacing w:line="360" w:lineRule="auto"/>
              <w:ind w:leftChars="34" w:left="71" w:rightChars="100" w:right="210"/>
              <w:rPr>
                <w:rFonts w:ascii="宋体" w:hAnsi="宋体" w:hint="eastAsia"/>
                <w:szCs w:val="21"/>
              </w:rPr>
            </w:pPr>
            <w:r>
              <w:rPr>
                <w:rFonts w:ascii="宋体" w:eastAsia="宋体" w:hAnsi="宋体" w:cs="宋体" w:hint="eastAsia"/>
                <w:szCs w:val="21"/>
                <w:lang w:val="en-GB"/>
              </w:rPr>
              <w:t>（</w:t>
            </w:r>
            <w:r>
              <w:rPr>
                <w:rFonts w:ascii="宋体" w:eastAsia="宋体" w:hAnsi="宋体" w:cs="宋体" w:hint="eastAsia"/>
                <w:szCs w:val="21"/>
              </w:rPr>
              <w:t>3</w:t>
            </w:r>
            <w:r>
              <w:rPr>
                <w:rFonts w:ascii="宋体" w:eastAsia="宋体" w:hAnsi="宋体" w:cs="宋体" w:hint="eastAsia"/>
                <w:szCs w:val="21"/>
                <w:lang w:val="en-GB"/>
              </w:rPr>
              <w:t>）服务方案无法满足采购需求或存在明显缺陷的，得0-3分。</w:t>
            </w:r>
          </w:p>
        </w:tc>
      </w:tr>
      <w:tr w:rsidR="00FE3BC4" w14:paraId="23D36826" w14:textId="77777777">
        <w:trPr>
          <w:trHeight w:val="557"/>
          <w:jc w:val="center"/>
        </w:trPr>
        <w:tc>
          <w:tcPr>
            <w:tcW w:w="799" w:type="dxa"/>
            <w:noWrap/>
            <w:tcMar>
              <w:top w:w="0" w:type="dxa"/>
              <w:left w:w="0" w:type="dxa"/>
              <w:bottom w:w="0" w:type="dxa"/>
              <w:right w:w="0" w:type="dxa"/>
            </w:tcMar>
            <w:vAlign w:val="center"/>
          </w:tcPr>
          <w:p w14:paraId="789B1B75" w14:textId="77777777" w:rsidR="00FE3BC4" w:rsidRDefault="00000000">
            <w:pPr>
              <w:pStyle w:val="Af2"/>
              <w:spacing w:line="400" w:lineRule="exact"/>
              <w:jc w:val="center"/>
              <w:rPr>
                <w:rFonts w:ascii="宋体" w:eastAsia="宋体" w:hAnsi="宋体" w:cs="Times New Roman" w:hint="eastAsia"/>
                <w:bCs/>
                <w:color w:val="auto"/>
                <w:kern w:val="0"/>
              </w:rPr>
            </w:pPr>
            <w:r>
              <w:rPr>
                <w:rFonts w:ascii="宋体" w:eastAsia="宋体" w:hAnsi="宋体" w:cs="Times New Roman" w:hint="eastAsia"/>
                <w:bCs/>
                <w:color w:val="auto"/>
                <w:kern w:val="0"/>
              </w:rPr>
              <w:t>6</w:t>
            </w:r>
          </w:p>
        </w:tc>
        <w:tc>
          <w:tcPr>
            <w:tcW w:w="1338" w:type="dxa"/>
            <w:noWrap/>
            <w:tcMar>
              <w:top w:w="0" w:type="dxa"/>
              <w:left w:w="0" w:type="dxa"/>
              <w:bottom w:w="0" w:type="dxa"/>
              <w:right w:w="0" w:type="dxa"/>
            </w:tcMar>
            <w:vAlign w:val="center"/>
          </w:tcPr>
          <w:p w14:paraId="461F43EA" w14:textId="77777777" w:rsidR="00FE3BC4" w:rsidRDefault="00000000">
            <w:pPr>
              <w:pStyle w:val="Af2"/>
              <w:spacing w:line="400" w:lineRule="exact"/>
              <w:jc w:val="center"/>
              <w:rPr>
                <w:rFonts w:ascii="宋体" w:eastAsia="宋体" w:hAnsi="宋体" w:cs="宋体" w:hint="eastAsia"/>
                <w:b/>
                <w:color w:val="auto"/>
              </w:rPr>
            </w:pPr>
            <w:r>
              <w:rPr>
                <w:rFonts w:ascii="宋体" w:eastAsia="宋体" w:hAnsi="宋体" w:cs="宋体" w:hint="eastAsia"/>
                <w:b/>
                <w:color w:val="auto"/>
              </w:rPr>
              <w:t>履约能力</w:t>
            </w:r>
          </w:p>
        </w:tc>
        <w:tc>
          <w:tcPr>
            <w:tcW w:w="851" w:type="dxa"/>
            <w:noWrap/>
            <w:tcMar>
              <w:top w:w="0" w:type="dxa"/>
              <w:left w:w="0" w:type="dxa"/>
              <w:bottom w:w="0" w:type="dxa"/>
              <w:right w:w="0" w:type="dxa"/>
            </w:tcMar>
            <w:vAlign w:val="center"/>
          </w:tcPr>
          <w:p w14:paraId="2F88FE4E" w14:textId="77777777" w:rsidR="00FE3BC4" w:rsidRDefault="00000000">
            <w:pPr>
              <w:pStyle w:val="Af2"/>
              <w:spacing w:line="400" w:lineRule="exact"/>
              <w:jc w:val="center"/>
              <w:rPr>
                <w:rFonts w:ascii="宋体" w:eastAsia="宋体" w:hAnsi="宋体" w:cs="Times New Roman" w:hint="eastAsia"/>
                <w:b/>
                <w:bCs/>
                <w:color w:val="auto"/>
                <w:kern w:val="0"/>
              </w:rPr>
            </w:pPr>
            <w:r>
              <w:rPr>
                <w:rFonts w:ascii="宋体" w:eastAsia="宋体" w:hAnsi="宋体" w:cs="Times New Roman" w:hint="eastAsia"/>
                <w:b/>
                <w:bCs/>
                <w:color w:val="auto"/>
                <w:kern w:val="0"/>
              </w:rPr>
              <w:t>5分</w:t>
            </w:r>
          </w:p>
        </w:tc>
        <w:tc>
          <w:tcPr>
            <w:tcW w:w="6945" w:type="dxa"/>
            <w:noWrap/>
            <w:tcMar>
              <w:top w:w="0" w:type="dxa"/>
              <w:left w:w="0" w:type="dxa"/>
              <w:bottom w:w="0" w:type="dxa"/>
              <w:right w:w="0" w:type="dxa"/>
            </w:tcMar>
            <w:vAlign w:val="center"/>
          </w:tcPr>
          <w:p w14:paraId="1AB44102" w14:textId="77777777" w:rsidR="00FE3BC4" w:rsidRDefault="00000000">
            <w:pPr>
              <w:spacing w:line="360" w:lineRule="auto"/>
              <w:ind w:leftChars="33" w:left="69" w:rightChars="100" w:right="210" w:firstLineChars="1" w:firstLine="2"/>
              <w:rPr>
                <w:rFonts w:ascii="宋体" w:eastAsia="宋体" w:hAnsi="宋体" w:cs="宋体" w:hint="eastAsia"/>
                <w:szCs w:val="21"/>
                <w:lang w:val="en-GB"/>
              </w:rPr>
            </w:pPr>
            <w:r>
              <w:rPr>
                <w:rFonts w:ascii="宋体" w:eastAsia="宋体" w:hAnsi="宋体" w:cs="宋体" w:hint="eastAsia"/>
                <w:szCs w:val="21"/>
                <w:lang w:val="en-GB"/>
              </w:rPr>
              <w:t>根据响应单位具备的与本项目相关的综合能力及认证能力等情况进行评分。</w:t>
            </w:r>
          </w:p>
          <w:p w14:paraId="1B6E7445" w14:textId="77777777" w:rsidR="00FE3BC4" w:rsidRDefault="00000000">
            <w:pPr>
              <w:pStyle w:val="Af2"/>
              <w:spacing w:line="360" w:lineRule="auto"/>
              <w:ind w:leftChars="33" w:left="69" w:rightChars="100" w:right="210" w:firstLineChars="1" w:firstLine="2"/>
              <w:rPr>
                <w:rFonts w:ascii="宋体" w:eastAsia="宋体" w:hAnsi="宋体" w:cs="宋体" w:hint="eastAsia"/>
                <w:lang w:val="en-GB"/>
              </w:rPr>
            </w:pPr>
            <w:r>
              <w:rPr>
                <w:rFonts w:ascii="宋体" w:eastAsia="宋体" w:hAnsi="宋体" w:cs="宋体" w:hint="eastAsia"/>
                <w:lang w:val="en-GB"/>
              </w:rPr>
              <w:lastRenderedPageBreak/>
              <w:t>评分标准：</w:t>
            </w:r>
          </w:p>
          <w:p w14:paraId="76EAFF33" w14:textId="77777777" w:rsidR="00FE3BC4" w:rsidRDefault="00000000">
            <w:pPr>
              <w:pStyle w:val="Af2"/>
              <w:numPr>
                <w:ilvl w:val="0"/>
                <w:numId w:val="7"/>
              </w:numPr>
              <w:spacing w:line="360" w:lineRule="auto"/>
              <w:ind w:leftChars="33" w:left="69" w:rightChars="100" w:right="210" w:firstLineChars="1" w:firstLine="2"/>
              <w:rPr>
                <w:rFonts w:ascii="宋体" w:eastAsia="宋体" w:hAnsi="宋体" w:cs="宋体" w:hint="eastAsia"/>
                <w:lang w:val="en-GB"/>
              </w:rPr>
            </w:pPr>
            <w:r>
              <w:rPr>
                <w:rFonts w:ascii="宋体" w:eastAsia="宋体" w:hAnsi="宋体" w:cs="宋体" w:hint="eastAsia"/>
                <w:lang w:val="en-GB"/>
              </w:rPr>
              <w:t>响应单位综合服务能力、诚信经营履约能力、项目实施能力均符合本项目需要的，得4-5分；</w:t>
            </w:r>
          </w:p>
          <w:p w14:paraId="29D13FC2" w14:textId="77777777" w:rsidR="00FE3BC4" w:rsidRDefault="00000000">
            <w:pPr>
              <w:pStyle w:val="Af2"/>
              <w:numPr>
                <w:ilvl w:val="0"/>
                <w:numId w:val="7"/>
              </w:numPr>
              <w:spacing w:line="360" w:lineRule="auto"/>
              <w:ind w:leftChars="33" w:left="69" w:rightChars="100" w:right="210" w:firstLineChars="1" w:firstLine="2"/>
              <w:rPr>
                <w:rFonts w:ascii="宋体" w:hAnsi="宋体" w:cs="宋体" w:hint="eastAsia"/>
                <w:szCs w:val="24"/>
              </w:rPr>
            </w:pPr>
            <w:r>
              <w:rPr>
                <w:rFonts w:ascii="宋体" w:eastAsia="宋体" w:hAnsi="宋体" w:cs="宋体" w:hint="eastAsia"/>
                <w:lang w:val="en-GB"/>
              </w:rPr>
              <w:t>企业相关信息提供不完善的，得2-3分。</w:t>
            </w:r>
          </w:p>
          <w:p w14:paraId="7F690DF8" w14:textId="77777777" w:rsidR="00FE3BC4" w:rsidRDefault="00000000">
            <w:pPr>
              <w:pStyle w:val="Af2"/>
              <w:numPr>
                <w:ilvl w:val="0"/>
                <w:numId w:val="7"/>
              </w:numPr>
              <w:spacing w:line="360" w:lineRule="auto"/>
              <w:ind w:leftChars="33" w:left="69" w:rightChars="100" w:right="210" w:firstLineChars="1" w:firstLine="2"/>
              <w:rPr>
                <w:rFonts w:ascii="宋体" w:hAnsi="宋体" w:cs="宋体" w:hint="eastAsia"/>
                <w:szCs w:val="24"/>
              </w:rPr>
            </w:pPr>
            <w:r>
              <w:rPr>
                <w:rFonts w:ascii="宋体" w:eastAsia="宋体" w:hAnsi="宋体" w:cs="宋体" w:hint="eastAsia"/>
                <w:color w:val="auto"/>
                <w:lang w:val="en-GB"/>
              </w:rPr>
              <w:t>未提供不得分。</w:t>
            </w:r>
          </w:p>
        </w:tc>
      </w:tr>
      <w:tr w:rsidR="00FE3BC4" w14:paraId="7632E6F9" w14:textId="77777777">
        <w:trPr>
          <w:trHeight w:val="557"/>
          <w:jc w:val="center"/>
        </w:trPr>
        <w:tc>
          <w:tcPr>
            <w:tcW w:w="799" w:type="dxa"/>
            <w:noWrap/>
            <w:tcMar>
              <w:top w:w="0" w:type="dxa"/>
              <w:left w:w="0" w:type="dxa"/>
              <w:bottom w:w="0" w:type="dxa"/>
              <w:right w:w="0" w:type="dxa"/>
            </w:tcMar>
            <w:vAlign w:val="center"/>
          </w:tcPr>
          <w:p w14:paraId="58D3E339" w14:textId="77777777" w:rsidR="00FE3BC4" w:rsidRDefault="00000000">
            <w:pPr>
              <w:pStyle w:val="Af2"/>
              <w:spacing w:line="400" w:lineRule="exact"/>
              <w:jc w:val="center"/>
              <w:rPr>
                <w:rFonts w:ascii="宋体" w:eastAsia="宋体" w:hAnsi="宋体" w:cs="Times New Roman" w:hint="eastAsia"/>
                <w:bCs/>
                <w:color w:val="auto"/>
                <w:kern w:val="0"/>
              </w:rPr>
            </w:pPr>
            <w:r>
              <w:rPr>
                <w:rFonts w:ascii="宋体" w:eastAsia="宋体" w:hAnsi="宋体" w:cs="Times New Roman" w:hint="eastAsia"/>
                <w:bCs/>
                <w:color w:val="auto"/>
                <w:kern w:val="0"/>
              </w:rPr>
              <w:lastRenderedPageBreak/>
              <w:t>7</w:t>
            </w:r>
          </w:p>
        </w:tc>
        <w:tc>
          <w:tcPr>
            <w:tcW w:w="1338" w:type="dxa"/>
            <w:noWrap/>
            <w:tcMar>
              <w:top w:w="0" w:type="dxa"/>
              <w:left w:w="0" w:type="dxa"/>
              <w:bottom w:w="0" w:type="dxa"/>
              <w:right w:w="0" w:type="dxa"/>
            </w:tcMar>
            <w:vAlign w:val="center"/>
          </w:tcPr>
          <w:p w14:paraId="284830CA" w14:textId="77777777" w:rsidR="00FE3BC4" w:rsidRDefault="00000000">
            <w:pPr>
              <w:pStyle w:val="Af2"/>
              <w:spacing w:line="400" w:lineRule="exact"/>
              <w:jc w:val="center"/>
              <w:rPr>
                <w:rFonts w:ascii="宋体" w:eastAsia="宋体" w:hAnsi="宋体" w:cs="Times New Roman" w:hint="eastAsia"/>
                <w:b/>
                <w:bCs/>
                <w:color w:val="auto"/>
                <w:kern w:val="0"/>
              </w:rPr>
            </w:pPr>
            <w:r>
              <w:rPr>
                <w:rFonts w:ascii="宋体" w:eastAsia="宋体" w:hAnsi="宋体" w:cs="宋体" w:hint="eastAsia"/>
                <w:b/>
                <w:color w:val="auto"/>
              </w:rPr>
              <w:t>类似业绩</w:t>
            </w:r>
          </w:p>
        </w:tc>
        <w:tc>
          <w:tcPr>
            <w:tcW w:w="851" w:type="dxa"/>
            <w:noWrap/>
            <w:tcMar>
              <w:top w:w="0" w:type="dxa"/>
              <w:left w:w="0" w:type="dxa"/>
              <w:bottom w:w="0" w:type="dxa"/>
              <w:right w:w="0" w:type="dxa"/>
            </w:tcMar>
            <w:vAlign w:val="center"/>
          </w:tcPr>
          <w:p w14:paraId="34E95C8C" w14:textId="77777777" w:rsidR="00FE3BC4" w:rsidRDefault="00000000">
            <w:pPr>
              <w:pStyle w:val="Af2"/>
              <w:spacing w:line="400" w:lineRule="exact"/>
              <w:jc w:val="center"/>
              <w:rPr>
                <w:rFonts w:ascii="宋体" w:eastAsia="宋体" w:hAnsi="宋体" w:cs="Times New Roman" w:hint="eastAsia"/>
                <w:b/>
                <w:bCs/>
                <w:color w:val="auto"/>
                <w:kern w:val="0"/>
              </w:rPr>
            </w:pPr>
            <w:r>
              <w:rPr>
                <w:rFonts w:ascii="宋体" w:eastAsia="宋体" w:hAnsi="宋体" w:cs="Times New Roman" w:hint="eastAsia"/>
                <w:b/>
                <w:bCs/>
                <w:color w:val="auto"/>
                <w:kern w:val="0"/>
              </w:rPr>
              <w:t>10</w:t>
            </w:r>
            <w:r>
              <w:rPr>
                <w:rFonts w:ascii="宋体" w:eastAsia="宋体" w:hAnsi="宋体" w:cs="Times New Roman"/>
                <w:b/>
                <w:bCs/>
                <w:color w:val="auto"/>
                <w:kern w:val="0"/>
              </w:rPr>
              <w:t>分</w:t>
            </w:r>
          </w:p>
        </w:tc>
        <w:tc>
          <w:tcPr>
            <w:tcW w:w="6945" w:type="dxa"/>
            <w:noWrap/>
            <w:tcMar>
              <w:top w:w="0" w:type="dxa"/>
              <w:left w:w="0" w:type="dxa"/>
              <w:bottom w:w="0" w:type="dxa"/>
              <w:right w:w="0" w:type="dxa"/>
            </w:tcMar>
            <w:vAlign w:val="center"/>
          </w:tcPr>
          <w:p w14:paraId="5C6A9FD0" w14:textId="77777777" w:rsidR="00FE3BC4" w:rsidRDefault="00000000">
            <w:pPr>
              <w:spacing w:line="360" w:lineRule="auto"/>
              <w:ind w:leftChars="33" w:left="69" w:rightChars="100" w:right="210" w:firstLineChars="1" w:firstLine="2"/>
              <w:rPr>
                <w:rFonts w:ascii="宋体" w:eastAsia="宋体" w:hAnsi="宋体" w:cs="宋体" w:hint="eastAsia"/>
                <w:szCs w:val="21"/>
                <w:lang w:val="en-GB"/>
              </w:rPr>
            </w:pPr>
            <w:r>
              <w:rPr>
                <w:rFonts w:ascii="宋体" w:eastAsia="宋体" w:hAnsi="宋体" w:cs="宋体" w:hint="eastAsia"/>
                <w:szCs w:val="21"/>
                <w:lang w:val="en-GB"/>
              </w:rPr>
              <w:t>根据响应文件提供的近三年类似项目的承接情况、承接类似项目的履约情况等进行评审（</w:t>
            </w:r>
            <w:proofErr w:type="gramStart"/>
            <w:r>
              <w:rPr>
                <w:rFonts w:ascii="宋体" w:eastAsia="宋体" w:hAnsi="宋体" w:cs="宋体" w:hint="eastAsia"/>
                <w:szCs w:val="21"/>
                <w:lang w:val="en-GB"/>
              </w:rPr>
              <w:t>附合同</w:t>
            </w:r>
            <w:proofErr w:type="gramEnd"/>
            <w:r>
              <w:rPr>
                <w:rFonts w:ascii="宋体" w:eastAsia="宋体" w:hAnsi="宋体" w:cs="宋体" w:hint="eastAsia"/>
                <w:szCs w:val="21"/>
                <w:lang w:val="en-GB"/>
              </w:rPr>
              <w:t>原件扫描件）。</w:t>
            </w:r>
          </w:p>
          <w:p w14:paraId="2DCE6EE6" w14:textId="77777777" w:rsidR="00FE3BC4" w:rsidRDefault="00000000">
            <w:pPr>
              <w:spacing w:line="360" w:lineRule="auto"/>
              <w:ind w:leftChars="33" w:left="69" w:rightChars="100" w:right="210" w:firstLineChars="1" w:firstLine="2"/>
              <w:rPr>
                <w:rFonts w:ascii="宋体" w:eastAsia="宋体" w:hAnsi="宋体" w:cs="宋体" w:hint="eastAsia"/>
                <w:szCs w:val="21"/>
                <w:lang w:val="en-GB"/>
              </w:rPr>
            </w:pPr>
            <w:r>
              <w:rPr>
                <w:rFonts w:ascii="宋体" w:eastAsia="宋体" w:hAnsi="宋体" w:cs="宋体" w:hint="eastAsia"/>
                <w:szCs w:val="21"/>
                <w:lang w:val="en-GB"/>
              </w:rPr>
              <w:t>评分标准：</w:t>
            </w:r>
          </w:p>
          <w:p w14:paraId="5D23956D" w14:textId="77777777" w:rsidR="00FE3BC4" w:rsidRDefault="00000000">
            <w:pPr>
              <w:spacing w:line="360" w:lineRule="auto"/>
              <w:ind w:leftChars="33" w:left="69" w:rightChars="100" w:right="210" w:firstLineChars="1" w:firstLine="2"/>
              <w:rPr>
                <w:rFonts w:ascii="宋体" w:hAnsi="宋体" w:hint="eastAsia"/>
                <w:szCs w:val="21"/>
                <w:lang w:val="en-GB"/>
              </w:rPr>
            </w:pPr>
            <w:r>
              <w:rPr>
                <w:rFonts w:ascii="宋体" w:eastAsia="宋体" w:hAnsi="宋体" w:cs="宋体" w:hint="eastAsia"/>
                <w:szCs w:val="21"/>
                <w:lang w:val="en-GB"/>
              </w:rPr>
              <w:t>（</w:t>
            </w:r>
            <w:r>
              <w:rPr>
                <w:rFonts w:ascii="宋体" w:eastAsia="宋体" w:hAnsi="宋体" w:cs="宋体" w:hint="eastAsia"/>
                <w:szCs w:val="21"/>
              </w:rPr>
              <w:t>1</w:t>
            </w:r>
            <w:r>
              <w:rPr>
                <w:rFonts w:ascii="宋体" w:eastAsia="宋体" w:hAnsi="宋体" w:cs="宋体" w:hint="eastAsia"/>
                <w:szCs w:val="21"/>
                <w:lang w:val="en-GB"/>
              </w:rPr>
              <w:t>）是否属于有效的类似项目由磋商小组根据响应方提供的项目承接情况在业务内容、技术特点等方面与本项目类似程度进行认定。一个有效业绩得2分，最高得分为10分，未提供不得分。</w:t>
            </w:r>
          </w:p>
        </w:tc>
      </w:tr>
      <w:tr w:rsidR="00FE3BC4" w14:paraId="443D72C6" w14:textId="77777777">
        <w:trPr>
          <w:trHeight w:val="695"/>
          <w:jc w:val="center"/>
        </w:trPr>
        <w:tc>
          <w:tcPr>
            <w:tcW w:w="2988" w:type="dxa"/>
            <w:gridSpan w:val="3"/>
            <w:noWrap/>
            <w:tcMar>
              <w:top w:w="0" w:type="dxa"/>
              <w:left w:w="0" w:type="dxa"/>
              <w:bottom w:w="0" w:type="dxa"/>
              <w:right w:w="0" w:type="dxa"/>
            </w:tcMar>
            <w:vAlign w:val="center"/>
          </w:tcPr>
          <w:p w14:paraId="4545200D" w14:textId="77777777" w:rsidR="00FE3BC4" w:rsidRDefault="00000000">
            <w:pPr>
              <w:pStyle w:val="Af2"/>
              <w:spacing w:line="400" w:lineRule="exact"/>
              <w:jc w:val="center"/>
              <w:rPr>
                <w:rFonts w:ascii="宋体" w:eastAsia="宋体" w:hAnsi="宋体" w:cs="Times New Roman" w:hint="eastAsia"/>
                <w:b/>
                <w:bCs/>
                <w:color w:val="auto"/>
                <w:kern w:val="0"/>
              </w:rPr>
            </w:pPr>
            <w:r>
              <w:rPr>
                <w:rFonts w:ascii="宋体" w:eastAsia="宋体" w:hAnsi="宋体" w:cs="Times New Roman" w:hint="eastAsia"/>
                <w:b/>
                <w:bCs/>
                <w:color w:val="auto"/>
                <w:kern w:val="0"/>
              </w:rPr>
              <w:t>满分</w:t>
            </w:r>
          </w:p>
        </w:tc>
        <w:tc>
          <w:tcPr>
            <w:tcW w:w="6945" w:type="dxa"/>
            <w:noWrap/>
            <w:tcMar>
              <w:top w:w="0" w:type="dxa"/>
              <w:left w:w="0" w:type="dxa"/>
              <w:bottom w:w="0" w:type="dxa"/>
              <w:right w:w="0" w:type="dxa"/>
            </w:tcMar>
            <w:vAlign w:val="center"/>
          </w:tcPr>
          <w:p w14:paraId="4850D6EA" w14:textId="77777777" w:rsidR="00FE3BC4" w:rsidRDefault="00000000">
            <w:pPr>
              <w:pStyle w:val="Af2"/>
              <w:spacing w:line="400" w:lineRule="exact"/>
              <w:ind w:firstLineChars="200" w:firstLine="278"/>
              <w:jc w:val="left"/>
              <w:rPr>
                <w:rFonts w:ascii="宋体" w:eastAsia="宋体" w:hAnsi="宋体" w:cs="Times New Roman" w:hint="eastAsia"/>
                <w:bCs/>
                <w:color w:val="auto"/>
                <w:kern w:val="0"/>
              </w:rPr>
            </w:pPr>
            <w:r>
              <w:rPr>
                <w:rFonts w:ascii="宋体" w:hAnsi="宋体" w:hint="eastAsia"/>
                <w:b/>
                <w:color w:val="auto"/>
                <w:lang w:val="en-GB"/>
              </w:rPr>
              <w:t>100</w:t>
            </w:r>
            <w:r>
              <w:rPr>
                <w:rFonts w:ascii="微软雅黑" w:eastAsia="微软雅黑" w:hAnsi="微软雅黑" w:cs="微软雅黑" w:hint="eastAsia"/>
                <w:bCs/>
                <w:color w:val="auto"/>
                <w:lang w:val="en-GB"/>
              </w:rPr>
              <w:t>分</w:t>
            </w:r>
          </w:p>
        </w:tc>
      </w:tr>
    </w:tbl>
    <w:p w14:paraId="7D8299CD" w14:textId="77777777" w:rsidR="00FE3BC4" w:rsidRDefault="00FE3BC4">
      <w:pPr>
        <w:rPr>
          <w:rFonts w:hint="eastAsia"/>
          <w:sz w:val="24"/>
          <w:szCs w:val="28"/>
        </w:rPr>
      </w:pPr>
    </w:p>
    <w:sectPr w:rsidR="00FE3B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5FF41"/>
    <w:multiLevelType w:val="singleLevel"/>
    <w:tmpl w:val="8515FF41"/>
    <w:lvl w:ilvl="0">
      <w:start w:val="1"/>
      <w:numFmt w:val="decimal"/>
      <w:suff w:val="nothing"/>
      <w:lvlText w:val="（%1）"/>
      <w:lvlJc w:val="left"/>
    </w:lvl>
  </w:abstractNum>
  <w:abstractNum w:abstractNumId="1" w15:restartNumberingAfterBreak="0">
    <w:nsid w:val="CFE553EA"/>
    <w:multiLevelType w:val="singleLevel"/>
    <w:tmpl w:val="CFE553EA"/>
    <w:lvl w:ilvl="0">
      <w:start w:val="1"/>
      <w:numFmt w:val="decimal"/>
      <w:suff w:val="nothing"/>
      <w:lvlText w:val="（%1）"/>
      <w:lvlJc w:val="left"/>
    </w:lvl>
  </w:abstractNum>
  <w:abstractNum w:abstractNumId="2" w15:restartNumberingAfterBreak="0">
    <w:nsid w:val="D0359B9C"/>
    <w:multiLevelType w:val="singleLevel"/>
    <w:tmpl w:val="D0359B9C"/>
    <w:lvl w:ilvl="0">
      <w:start w:val="1"/>
      <w:numFmt w:val="decimal"/>
      <w:suff w:val="nothing"/>
      <w:lvlText w:val="（%1）"/>
      <w:lvlJc w:val="left"/>
    </w:lvl>
  </w:abstractNum>
  <w:abstractNum w:abstractNumId="3"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4" w15:restartNumberingAfterBreak="0">
    <w:nsid w:val="456390B9"/>
    <w:multiLevelType w:val="singleLevel"/>
    <w:tmpl w:val="456390B9"/>
    <w:lvl w:ilvl="0">
      <w:start w:val="1"/>
      <w:numFmt w:val="decimal"/>
      <w:suff w:val="nothing"/>
      <w:lvlText w:val="（%1）"/>
      <w:lvlJc w:val="left"/>
    </w:lvl>
  </w:abstractNum>
  <w:abstractNum w:abstractNumId="5"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abstractNum w:abstractNumId="6" w15:restartNumberingAfterBreak="0">
    <w:nsid w:val="75295016"/>
    <w:multiLevelType w:val="singleLevel"/>
    <w:tmpl w:val="75295016"/>
    <w:lvl w:ilvl="0">
      <w:start w:val="1"/>
      <w:numFmt w:val="decimal"/>
      <w:suff w:val="nothing"/>
      <w:lvlText w:val="（%1）"/>
      <w:lvlJc w:val="left"/>
    </w:lvl>
  </w:abstractNum>
  <w:num w:numId="1" w16cid:durableId="3616400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044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3861353">
    <w:abstractNumId w:val="1"/>
  </w:num>
  <w:num w:numId="4" w16cid:durableId="939413370">
    <w:abstractNumId w:val="4"/>
  </w:num>
  <w:num w:numId="5" w16cid:durableId="523641783">
    <w:abstractNumId w:val="2"/>
  </w:num>
  <w:num w:numId="6" w16cid:durableId="1720788276">
    <w:abstractNumId w:val="0"/>
  </w:num>
  <w:num w:numId="7" w16cid:durableId="1840071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QwMTI0ZGViMDNjOGU1MjFjYTZhNGYyZjEwNzY3MDQifQ=="/>
  </w:docVars>
  <w:rsids>
    <w:rsidRoot w:val="00703426"/>
    <w:rsid w:val="000A6EF5"/>
    <w:rsid w:val="00192128"/>
    <w:rsid w:val="00224C62"/>
    <w:rsid w:val="0022620E"/>
    <w:rsid w:val="002571CD"/>
    <w:rsid w:val="00271B9F"/>
    <w:rsid w:val="00295672"/>
    <w:rsid w:val="00334C8B"/>
    <w:rsid w:val="003608F5"/>
    <w:rsid w:val="0038230C"/>
    <w:rsid w:val="00386DEB"/>
    <w:rsid w:val="003A1118"/>
    <w:rsid w:val="003A489D"/>
    <w:rsid w:val="0042309A"/>
    <w:rsid w:val="0042712B"/>
    <w:rsid w:val="004921F4"/>
    <w:rsid w:val="004B5606"/>
    <w:rsid w:val="004D14CB"/>
    <w:rsid w:val="00526455"/>
    <w:rsid w:val="00567D8E"/>
    <w:rsid w:val="005C611D"/>
    <w:rsid w:val="005D1F91"/>
    <w:rsid w:val="006056F4"/>
    <w:rsid w:val="00615854"/>
    <w:rsid w:val="006565D3"/>
    <w:rsid w:val="00667DC2"/>
    <w:rsid w:val="00695CC4"/>
    <w:rsid w:val="006A74A7"/>
    <w:rsid w:val="006B6966"/>
    <w:rsid w:val="006F53D0"/>
    <w:rsid w:val="00703426"/>
    <w:rsid w:val="0071272D"/>
    <w:rsid w:val="007A4D95"/>
    <w:rsid w:val="007B02AB"/>
    <w:rsid w:val="007D4C9F"/>
    <w:rsid w:val="007F47B1"/>
    <w:rsid w:val="00833A80"/>
    <w:rsid w:val="008B4BFF"/>
    <w:rsid w:val="00A03CC5"/>
    <w:rsid w:val="00A06FDF"/>
    <w:rsid w:val="00A1065B"/>
    <w:rsid w:val="00AD5E87"/>
    <w:rsid w:val="00B2499C"/>
    <w:rsid w:val="00B31167"/>
    <w:rsid w:val="00B70221"/>
    <w:rsid w:val="00C2377A"/>
    <w:rsid w:val="00C32533"/>
    <w:rsid w:val="00C37FF8"/>
    <w:rsid w:val="00C50E93"/>
    <w:rsid w:val="00C703CD"/>
    <w:rsid w:val="00C741E9"/>
    <w:rsid w:val="00CC0C7A"/>
    <w:rsid w:val="00E15480"/>
    <w:rsid w:val="00E63F4C"/>
    <w:rsid w:val="00EF2A00"/>
    <w:rsid w:val="00F067C6"/>
    <w:rsid w:val="00F1232F"/>
    <w:rsid w:val="00FE3BC4"/>
    <w:rsid w:val="0B571358"/>
    <w:rsid w:val="0BE706CF"/>
    <w:rsid w:val="0E7771D7"/>
    <w:rsid w:val="14C92354"/>
    <w:rsid w:val="1DC13BF1"/>
    <w:rsid w:val="1EC12041"/>
    <w:rsid w:val="1F574C3A"/>
    <w:rsid w:val="1F7E34F3"/>
    <w:rsid w:val="21004E0A"/>
    <w:rsid w:val="2318468D"/>
    <w:rsid w:val="275B0FEC"/>
    <w:rsid w:val="29ED3A67"/>
    <w:rsid w:val="2DE41D3C"/>
    <w:rsid w:val="2E471441"/>
    <w:rsid w:val="2F7304AD"/>
    <w:rsid w:val="350A66D4"/>
    <w:rsid w:val="39B359A6"/>
    <w:rsid w:val="5D9C0785"/>
    <w:rsid w:val="60A17DD0"/>
    <w:rsid w:val="624A0282"/>
    <w:rsid w:val="659B018E"/>
    <w:rsid w:val="6AA81420"/>
    <w:rsid w:val="6E370A3D"/>
    <w:rsid w:val="7036571F"/>
    <w:rsid w:val="77456248"/>
    <w:rsid w:val="790F6B0E"/>
    <w:rsid w:val="79D73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E9698A-2D97-4D2A-B8B7-9F5918D0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qFormat/>
    <w:pPr>
      <w:jc w:val="center"/>
    </w:pPr>
  </w:style>
  <w:style w:type="paragraph" w:styleId="a3">
    <w:name w:val="Body Text"/>
    <w:basedOn w:val="a"/>
    <w:qFormat/>
    <w:pPr>
      <w:spacing w:after="120"/>
    </w:pPr>
  </w:style>
  <w:style w:type="paragraph" w:styleId="a4">
    <w:name w:val="Plain Text"/>
    <w:basedOn w:val="a"/>
    <w:qFormat/>
    <w:rPr>
      <w:rFonts w:ascii="宋体" w:eastAsia="宋体" w:hAnsi="Courier New"/>
      <w:kern w:val="0"/>
      <w:sz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21">
    <w:name w:val="Body Text 2"/>
    <w:basedOn w:val="a"/>
    <w:qFormat/>
    <w:pPr>
      <w:tabs>
        <w:tab w:val="left" w:pos="0"/>
      </w:tabs>
      <w:spacing w:line="500" w:lineRule="exact"/>
    </w:pPr>
    <w:rPr>
      <w:rFonts w:eastAsia="仿宋_GB2312"/>
      <w:sz w:val="30"/>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font31">
    <w:name w:val="font31"/>
    <w:basedOn w:val="a0"/>
    <w:autoRedefine/>
    <w:qFormat/>
    <w:rPr>
      <w:rFonts w:ascii="Calibri" w:hAnsi="Calibri" w:cs="Calibri" w:hint="default"/>
      <w:color w:val="000000"/>
      <w:sz w:val="21"/>
      <w:szCs w:val="21"/>
      <w:u w:val="none"/>
    </w:rPr>
  </w:style>
  <w:style w:type="character" w:customStyle="1" w:styleId="font41">
    <w:name w:val="font41"/>
    <w:basedOn w:val="a0"/>
    <w:qFormat/>
    <w:rPr>
      <w:rFonts w:ascii="宋体" w:eastAsia="宋体" w:hAnsi="宋体" w:cs="宋体" w:hint="eastAsia"/>
      <w:color w:val="000000"/>
      <w:sz w:val="20"/>
      <w:szCs w:val="20"/>
      <w:u w:val="none"/>
    </w:rPr>
  </w:style>
  <w:style w:type="paragraph" w:customStyle="1" w:styleId="Af2">
    <w:name w:val="正文 A"/>
    <w:qFormat/>
    <w:pPr>
      <w:widowControl w:val="0"/>
      <w:jc w:val="both"/>
    </w:pPr>
    <w:rPr>
      <w:rFonts w:ascii="Arial Unicode MS" w:eastAsia="Arial Unicode MS" w:hAnsi="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2</cp:revision>
  <dcterms:created xsi:type="dcterms:W3CDTF">2026-04-27T03:09:00Z</dcterms:created>
  <dcterms:modified xsi:type="dcterms:W3CDTF">2026-04-27T03:09:00Z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eyJoZGlkIjoiYTI2ZDFmNzU1YmE2MDUxZTdhNjRjMzZkNzNjMTc5NzgiLCJ1c2VySWQiOiIxNDgzODQxODk4In0=</vt:lpwstr>
  </property>
  <property fmtid="{D5CDD505-2E9C-101B-9397-08002B2CF9AE}" pid="3" name="KSOProductBuildVer">
    <vt:lpwstr>2052-12.1.0.25860</vt:lpwstr>
  </property>
  <property fmtid="{D5CDD505-2E9C-101B-9397-08002B2CF9AE}" pid="4" name="ICV">
    <vt:lpwstr>88A069B279524D4EB210F312E5CDFB2E_12</vt:lpwstr>
  </property>
</Properties>
</file>