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BF4EF">
      <w:pPr>
        <w:jc w:val="center"/>
        <w:rPr>
          <w:rFonts w:ascii="黑体" w:hAnsi="黑体" w:eastAsia="黑体"/>
          <w:b/>
          <w:bCs/>
          <w:sz w:val="28"/>
          <w:szCs w:val="32"/>
        </w:rPr>
      </w:pPr>
      <w:r>
        <w:rPr>
          <w:rFonts w:hint="eastAsia" w:ascii="黑体" w:hAnsi="黑体" w:eastAsia="黑体"/>
          <w:b/>
          <w:bCs/>
          <w:sz w:val="28"/>
          <w:szCs w:val="32"/>
        </w:rPr>
        <w:t>跨境电商题库项目采购需求</w:t>
      </w:r>
    </w:p>
    <w:p w14:paraId="65B03A48">
      <w:pPr>
        <w:jc w:val="center"/>
        <w:rPr>
          <w:b/>
          <w:bCs/>
          <w:sz w:val="24"/>
          <w:szCs w:val="28"/>
        </w:rPr>
      </w:pPr>
      <w:r>
        <w:rPr>
          <w:rFonts w:hint="eastAsia" w:ascii="黑体" w:hAnsi="黑体" w:eastAsia="黑体"/>
          <w:b/>
          <w:bCs/>
          <w:sz w:val="28"/>
          <w:szCs w:val="32"/>
        </w:rPr>
        <w:t>(服务类)</w:t>
      </w:r>
    </w:p>
    <w:p w14:paraId="34B8C49B">
      <w:pPr>
        <w:spacing w:line="360" w:lineRule="auto"/>
        <w:rPr>
          <w:rFonts w:ascii="仿宋" w:hAnsi="仿宋" w:eastAsia="仿宋"/>
          <w:b/>
          <w:bCs/>
          <w:sz w:val="24"/>
          <w:szCs w:val="28"/>
        </w:rPr>
      </w:pPr>
      <w:r>
        <w:rPr>
          <w:rFonts w:hint="eastAsia" w:ascii="仿宋" w:hAnsi="仿宋" w:eastAsia="仿宋"/>
          <w:b/>
          <w:bCs/>
          <w:sz w:val="24"/>
          <w:szCs w:val="28"/>
        </w:rPr>
        <w:t>一、项目名称</w:t>
      </w:r>
    </w:p>
    <w:p w14:paraId="2F5B5017">
      <w:pPr>
        <w:spacing w:line="360" w:lineRule="auto"/>
        <w:rPr>
          <w:rFonts w:ascii="仿宋" w:hAnsi="仿宋" w:eastAsia="仿宋"/>
          <w:color w:val="auto"/>
          <w:sz w:val="24"/>
          <w:szCs w:val="28"/>
        </w:rPr>
      </w:pPr>
      <w:r>
        <w:rPr>
          <w:rFonts w:hint="eastAsia" w:ascii="仿宋" w:hAnsi="仿宋" w:eastAsia="仿宋"/>
          <w:color w:val="auto"/>
          <w:sz w:val="24"/>
          <w:szCs w:val="28"/>
        </w:rPr>
        <w:t>跨境电商题库项目</w:t>
      </w:r>
    </w:p>
    <w:p w14:paraId="5D1C5DC4">
      <w:pPr>
        <w:spacing w:line="360" w:lineRule="auto"/>
        <w:rPr>
          <w:rFonts w:ascii="仿宋" w:hAnsi="仿宋" w:eastAsia="仿宋"/>
          <w:b/>
          <w:bCs/>
          <w:color w:val="auto"/>
          <w:sz w:val="24"/>
          <w:szCs w:val="28"/>
        </w:rPr>
      </w:pPr>
      <w:r>
        <w:rPr>
          <w:rFonts w:hint="eastAsia" w:ascii="仿宋" w:hAnsi="仿宋" w:eastAsia="仿宋"/>
          <w:b/>
          <w:bCs/>
          <w:color w:val="auto"/>
          <w:sz w:val="24"/>
          <w:szCs w:val="28"/>
        </w:rPr>
        <w:t>二、项目预算</w:t>
      </w:r>
    </w:p>
    <w:p w14:paraId="2446191F">
      <w:pPr>
        <w:spacing w:line="360" w:lineRule="auto"/>
        <w:rPr>
          <w:rFonts w:ascii="仿宋" w:hAnsi="仿宋" w:eastAsia="仿宋"/>
          <w:color w:val="auto"/>
          <w:sz w:val="24"/>
          <w:szCs w:val="28"/>
        </w:rPr>
      </w:pPr>
      <w:r>
        <w:rPr>
          <w:rFonts w:hint="eastAsia" w:ascii="仿宋" w:hAnsi="仿宋" w:eastAsia="仿宋"/>
          <w:color w:val="auto"/>
          <w:sz w:val="24"/>
          <w:szCs w:val="28"/>
        </w:rPr>
        <w:t>5万人民币（大写：伍万元整）</w:t>
      </w:r>
    </w:p>
    <w:p w14:paraId="303E89D6">
      <w:pPr>
        <w:spacing w:line="360" w:lineRule="auto"/>
        <w:rPr>
          <w:rFonts w:ascii="仿宋" w:hAnsi="仿宋" w:eastAsia="仿宋"/>
          <w:b/>
          <w:bCs/>
          <w:color w:val="auto"/>
          <w:sz w:val="24"/>
          <w:szCs w:val="28"/>
        </w:rPr>
      </w:pPr>
      <w:r>
        <w:rPr>
          <w:rFonts w:hint="eastAsia" w:ascii="仿宋" w:hAnsi="仿宋" w:eastAsia="仿宋"/>
          <w:b/>
          <w:bCs/>
          <w:color w:val="auto"/>
          <w:sz w:val="24"/>
          <w:szCs w:val="28"/>
        </w:rPr>
        <w:t>三、供应商资格要求:</w:t>
      </w:r>
    </w:p>
    <w:p w14:paraId="094F718C">
      <w:pPr>
        <w:spacing w:line="360" w:lineRule="auto"/>
        <w:rPr>
          <w:rFonts w:ascii="仿宋" w:hAnsi="仿宋" w:eastAsia="仿宋"/>
          <w:color w:val="auto"/>
          <w:sz w:val="24"/>
          <w:szCs w:val="28"/>
        </w:rPr>
      </w:pPr>
      <w:r>
        <w:rPr>
          <w:rFonts w:hint="eastAsia" w:ascii="仿宋" w:hAnsi="仿宋" w:eastAsia="仿宋"/>
          <w:color w:val="auto"/>
          <w:sz w:val="24"/>
          <w:szCs w:val="28"/>
        </w:rPr>
        <w:t>1、具有独立法人资格及相应经营范围；</w:t>
      </w:r>
    </w:p>
    <w:p w14:paraId="47C3B9E9">
      <w:pPr>
        <w:spacing w:line="360" w:lineRule="auto"/>
        <w:rPr>
          <w:rFonts w:ascii="仿宋" w:hAnsi="仿宋" w:eastAsia="仿宋"/>
          <w:color w:val="auto"/>
          <w:sz w:val="24"/>
          <w:szCs w:val="28"/>
        </w:rPr>
      </w:pPr>
      <w:r>
        <w:rPr>
          <w:rFonts w:hint="eastAsia" w:ascii="仿宋" w:hAnsi="仿宋" w:eastAsia="仿宋"/>
          <w:color w:val="auto"/>
          <w:sz w:val="24"/>
          <w:szCs w:val="28"/>
        </w:rPr>
        <w:t>2、具有国家或有关政府部门颁发的资质证明文件；</w:t>
      </w:r>
    </w:p>
    <w:p w14:paraId="3AC0065F">
      <w:pPr>
        <w:spacing w:line="360" w:lineRule="auto"/>
        <w:rPr>
          <w:rFonts w:ascii="仿宋" w:hAnsi="仿宋" w:eastAsia="仿宋"/>
          <w:color w:val="auto"/>
          <w:sz w:val="24"/>
          <w:szCs w:val="28"/>
        </w:rPr>
      </w:pPr>
      <w:r>
        <w:rPr>
          <w:rFonts w:hint="eastAsia" w:ascii="仿宋" w:hAnsi="仿宋" w:eastAsia="仿宋"/>
          <w:color w:val="auto"/>
          <w:sz w:val="24"/>
          <w:szCs w:val="28"/>
        </w:rPr>
        <w:t>3、具有履行合同所必需的设备和专业技术能力的证明材料；</w:t>
      </w:r>
    </w:p>
    <w:p w14:paraId="73C14579">
      <w:pPr>
        <w:spacing w:line="360" w:lineRule="auto"/>
        <w:rPr>
          <w:rFonts w:ascii="仿宋" w:hAnsi="仿宋" w:eastAsia="仿宋"/>
          <w:color w:val="auto"/>
          <w:sz w:val="24"/>
          <w:szCs w:val="28"/>
        </w:rPr>
      </w:pPr>
      <w:r>
        <w:rPr>
          <w:rFonts w:hint="eastAsia" w:ascii="仿宋" w:hAnsi="仿宋" w:eastAsia="仿宋"/>
          <w:color w:val="auto"/>
          <w:sz w:val="24"/>
          <w:szCs w:val="28"/>
        </w:rPr>
        <w:t>4、具有良好的信誉和相应产品的销售业绩;</w:t>
      </w:r>
    </w:p>
    <w:p w14:paraId="5893206D">
      <w:pPr>
        <w:spacing w:line="360" w:lineRule="auto"/>
        <w:rPr>
          <w:rFonts w:ascii="仿宋" w:hAnsi="仿宋" w:eastAsia="仿宋"/>
          <w:color w:val="auto"/>
          <w:sz w:val="24"/>
          <w:szCs w:val="28"/>
        </w:rPr>
      </w:pPr>
      <w:r>
        <w:rPr>
          <w:rFonts w:hint="eastAsia" w:ascii="仿宋" w:hAnsi="仿宋" w:eastAsia="仿宋"/>
          <w:color w:val="auto"/>
          <w:sz w:val="24"/>
          <w:szCs w:val="28"/>
        </w:rPr>
        <w:t>5、近三年内，在经营活动中没有重大违法记录；</w:t>
      </w:r>
    </w:p>
    <w:p w14:paraId="1F4FDDFA">
      <w:pPr>
        <w:spacing w:line="360" w:lineRule="auto"/>
        <w:rPr>
          <w:rFonts w:ascii="仿宋" w:hAnsi="仿宋" w:eastAsia="仿宋"/>
          <w:color w:val="auto"/>
          <w:sz w:val="24"/>
          <w:szCs w:val="28"/>
        </w:rPr>
      </w:pPr>
      <w:r>
        <w:rPr>
          <w:rFonts w:hint="eastAsia" w:ascii="仿宋" w:hAnsi="仿宋" w:eastAsia="仿宋"/>
          <w:color w:val="auto"/>
          <w:sz w:val="24"/>
          <w:szCs w:val="28"/>
        </w:rPr>
        <w:t>6、单位负责人为同一人或者存在直接控股、管理关系的不同供应商，不得同时参加本采购项目投标；</w:t>
      </w:r>
    </w:p>
    <w:p w14:paraId="56037445">
      <w:pPr>
        <w:spacing w:line="360" w:lineRule="auto"/>
        <w:rPr>
          <w:rFonts w:ascii="仿宋" w:hAnsi="仿宋" w:eastAsia="仿宋"/>
          <w:color w:val="auto"/>
          <w:sz w:val="24"/>
          <w:szCs w:val="28"/>
        </w:rPr>
      </w:pPr>
      <w:r>
        <w:rPr>
          <w:rFonts w:hint="eastAsia" w:ascii="仿宋" w:hAnsi="仿宋" w:eastAsia="仿宋"/>
          <w:color w:val="auto"/>
          <w:sz w:val="24"/>
          <w:szCs w:val="28"/>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01005AE6">
      <w:pPr>
        <w:spacing w:line="360" w:lineRule="auto"/>
        <w:rPr>
          <w:rFonts w:ascii="仿宋" w:hAnsi="仿宋" w:eastAsia="仿宋"/>
          <w:color w:val="auto"/>
          <w:sz w:val="24"/>
          <w:szCs w:val="28"/>
        </w:rPr>
      </w:pPr>
      <w:r>
        <w:rPr>
          <w:rFonts w:hint="eastAsia" w:ascii="仿宋" w:hAnsi="仿宋" w:eastAsia="仿宋"/>
          <w:color w:val="auto"/>
          <w:sz w:val="24"/>
          <w:szCs w:val="28"/>
        </w:rPr>
        <w:t>本项目不接受联合体投标。</w:t>
      </w:r>
    </w:p>
    <w:p w14:paraId="05ABC9A1">
      <w:pPr>
        <w:spacing w:line="360" w:lineRule="auto"/>
        <w:rPr>
          <w:rFonts w:ascii="仿宋" w:hAnsi="仿宋" w:eastAsia="仿宋"/>
          <w:b/>
          <w:bCs/>
          <w:color w:val="auto"/>
          <w:sz w:val="24"/>
          <w:szCs w:val="28"/>
        </w:rPr>
      </w:pPr>
      <w:r>
        <w:rPr>
          <w:rFonts w:hint="eastAsia" w:ascii="仿宋" w:hAnsi="仿宋" w:eastAsia="仿宋"/>
          <w:b/>
          <w:bCs/>
          <w:color w:val="auto"/>
          <w:sz w:val="24"/>
          <w:szCs w:val="28"/>
        </w:rPr>
        <w:t>四、服务要求</w:t>
      </w:r>
    </w:p>
    <w:p w14:paraId="2A62CF14">
      <w:pPr>
        <w:spacing w:line="360" w:lineRule="auto"/>
        <w:rPr>
          <w:rFonts w:ascii="仿宋" w:hAnsi="仿宋" w:eastAsia="仿宋"/>
          <w:color w:val="auto"/>
          <w:sz w:val="24"/>
          <w:szCs w:val="28"/>
        </w:rPr>
      </w:pPr>
      <w:r>
        <w:rPr>
          <w:rFonts w:hint="eastAsia" w:ascii="仿宋" w:hAnsi="仿宋" w:eastAsia="仿宋"/>
          <w:color w:val="auto"/>
          <w:sz w:val="24"/>
          <w:szCs w:val="28"/>
        </w:rPr>
        <w:t>1、服务内容、要求、质量:</w:t>
      </w:r>
    </w:p>
    <w:p w14:paraId="255251F3">
      <w:pPr>
        <w:spacing w:line="360" w:lineRule="auto"/>
        <w:rPr>
          <w:rFonts w:ascii="仿宋" w:hAnsi="仿宋" w:eastAsia="仿宋"/>
          <w:color w:val="auto"/>
          <w:sz w:val="24"/>
          <w:szCs w:val="28"/>
        </w:rPr>
      </w:pPr>
      <w:r>
        <w:rPr>
          <w:rFonts w:hint="eastAsia" w:ascii="仿宋" w:hAnsi="仿宋" w:eastAsia="仿宋"/>
          <w:color w:val="auto"/>
          <w:sz w:val="24"/>
          <w:szCs w:val="28"/>
        </w:rPr>
        <w:t>1.1 供应商需提供5本跨境电商相关教材的配套题库，每本教材配套1000道标准化题目和30道实训操作题，共计5,000道标准化题目和150道实训操作题，同时提供参考答案。题库内容须严格遵循国家最新中职跨境电商专业教学标准和课程标准，每道题目须标注对应知识点、难度等级、题目类型。</w:t>
      </w:r>
    </w:p>
    <w:p w14:paraId="0B020000">
      <w:pPr>
        <w:spacing w:line="360" w:lineRule="auto"/>
        <w:rPr>
          <w:rFonts w:ascii="仿宋" w:hAnsi="仿宋" w:eastAsia="仿宋"/>
          <w:color w:val="auto"/>
          <w:sz w:val="24"/>
          <w:szCs w:val="28"/>
        </w:rPr>
      </w:pPr>
      <w:r>
        <w:rPr>
          <w:rFonts w:hint="eastAsia" w:ascii="仿宋" w:hAnsi="仿宋" w:eastAsia="仿宋"/>
          <w:color w:val="auto"/>
          <w:sz w:val="24"/>
          <w:szCs w:val="28"/>
        </w:rPr>
        <w:t>1.2 题库平台系统服务：供应商需协助学校相关人员进行题库上传到平台运行。</w:t>
      </w:r>
    </w:p>
    <w:p w14:paraId="78139670">
      <w:pPr>
        <w:spacing w:line="360" w:lineRule="auto"/>
        <w:rPr>
          <w:rFonts w:ascii="仿宋" w:hAnsi="仿宋" w:eastAsia="仿宋"/>
          <w:color w:val="auto"/>
          <w:sz w:val="24"/>
          <w:szCs w:val="28"/>
          <w:highlight w:val="none"/>
        </w:rPr>
      </w:pPr>
      <w:r>
        <w:rPr>
          <w:rFonts w:hint="eastAsia" w:ascii="仿宋" w:hAnsi="仿宋" w:eastAsia="仿宋"/>
          <w:color w:val="auto"/>
          <w:sz w:val="24"/>
          <w:szCs w:val="28"/>
        </w:rPr>
        <w:t>1.3 项目实施与培训服务：供应商完成题库内容的制作以后，并制定详细实施计划确保按期交付；</w:t>
      </w:r>
      <w:r>
        <w:rPr>
          <w:rFonts w:hint="eastAsia" w:ascii="仿宋" w:hAnsi="仿宋" w:eastAsia="仿宋"/>
          <w:color w:val="auto"/>
          <w:sz w:val="24"/>
          <w:szCs w:val="28"/>
          <w:highlight w:val="none"/>
        </w:rPr>
        <w:t>需提供不少于2次的项目培训</w:t>
      </w:r>
      <w:r>
        <w:rPr>
          <w:rFonts w:hint="eastAsia" w:ascii="仿宋" w:hAnsi="仿宋" w:eastAsia="仿宋"/>
          <w:color w:val="auto"/>
          <w:sz w:val="24"/>
          <w:szCs w:val="28"/>
          <w:highlight w:val="none"/>
          <w:lang w:eastAsia="zh-CN"/>
        </w:rPr>
        <w:t>，</w:t>
      </w:r>
      <w:r>
        <w:rPr>
          <w:rFonts w:hint="eastAsia" w:ascii="仿宋" w:hAnsi="仿宋" w:eastAsia="仿宋"/>
          <w:color w:val="auto"/>
          <w:sz w:val="24"/>
          <w:szCs w:val="28"/>
          <w:highlight w:val="none"/>
          <w:lang w:val="en-US" w:eastAsia="zh-CN"/>
        </w:rPr>
        <w:t>其中第</w:t>
      </w:r>
      <w:r>
        <w:rPr>
          <w:rFonts w:hint="eastAsia" w:ascii="仿宋" w:hAnsi="仿宋" w:eastAsia="仿宋"/>
          <w:color w:val="auto"/>
          <w:sz w:val="24"/>
          <w:szCs w:val="28"/>
          <w:highlight w:val="none"/>
        </w:rPr>
        <w:t>一次为线下，针对跨境电商相关课程教师集中培训；</w:t>
      </w:r>
      <w:r>
        <w:rPr>
          <w:rFonts w:hint="eastAsia" w:ascii="仿宋" w:hAnsi="仿宋" w:eastAsia="仿宋"/>
          <w:color w:val="auto"/>
          <w:sz w:val="24"/>
          <w:szCs w:val="28"/>
          <w:highlight w:val="none"/>
          <w:lang w:val="en-US" w:eastAsia="zh-CN"/>
        </w:rPr>
        <w:t>第二</w:t>
      </w:r>
      <w:r>
        <w:rPr>
          <w:rFonts w:hint="eastAsia" w:ascii="仿宋" w:hAnsi="仿宋" w:eastAsia="仿宋"/>
          <w:color w:val="auto"/>
          <w:sz w:val="24"/>
          <w:szCs w:val="28"/>
          <w:highlight w:val="none"/>
        </w:rPr>
        <w:t>次为线上，针对题库使用答疑。</w:t>
      </w:r>
    </w:p>
    <w:p w14:paraId="70DE2682">
      <w:pPr>
        <w:spacing w:line="360" w:lineRule="auto"/>
        <w:rPr>
          <w:rFonts w:ascii="仿宋" w:hAnsi="仿宋" w:eastAsia="仿宋"/>
          <w:color w:val="auto"/>
          <w:sz w:val="24"/>
          <w:szCs w:val="28"/>
        </w:rPr>
      </w:pPr>
      <w:r>
        <w:rPr>
          <w:rFonts w:hint="eastAsia" w:ascii="仿宋" w:hAnsi="仿宋" w:eastAsia="仿宋"/>
          <w:color w:val="auto"/>
          <w:sz w:val="24"/>
          <w:szCs w:val="28"/>
        </w:rPr>
        <w:t>1.6 运维与售后支持服务：供应商需自项目验收合格起提供不少于1年的免费质保与技术支援，提供7x24小时技术支持热线。</w:t>
      </w:r>
    </w:p>
    <w:p w14:paraId="1523E2F1">
      <w:pPr>
        <w:spacing w:line="360" w:lineRule="auto"/>
        <w:rPr>
          <w:rFonts w:ascii="仿宋" w:hAnsi="仿宋" w:eastAsia="仿宋"/>
          <w:color w:val="auto"/>
          <w:sz w:val="24"/>
          <w:szCs w:val="28"/>
        </w:rPr>
      </w:pPr>
      <w:r>
        <w:rPr>
          <w:rFonts w:hint="eastAsia" w:ascii="仿宋" w:hAnsi="仿宋" w:eastAsia="仿宋"/>
          <w:color w:val="auto"/>
          <w:sz w:val="24"/>
          <w:szCs w:val="28"/>
        </w:rPr>
        <w:t>2、交付成果</w:t>
      </w:r>
    </w:p>
    <w:p w14:paraId="7EE9490A">
      <w:pPr>
        <w:spacing w:line="360" w:lineRule="auto"/>
        <w:rPr>
          <w:rFonts w:ascii="仿宋" w:hAnsi="仿宋" w:eastAsia="仿宋"/>
          <w:color w:val="auto"/>
          <w:sz w:val="24"/>
          <w:szCs w:val="28"/>
          <w:highlight w:val="green"/>
        </w:rPr>
      </w:pPr>
      <w:r>
        <w:rPr>
          <w:rFonts w:hint="eastAsia" w:ascii="仿宋" w:hAnsi="仿宋" w:eastAsia="仿宋"/>
          <w:color w:val="auto"/>
          <w:sz w:val="24"/>
          <w:szCs w:val="28"/>
        </w:rPr>
        <w:t>2.1 跨境电商题库：5000道标准化题目+30道实训操作题以及参考答案。题库内容需导入学校融合平台，作为无形资产提交U盘和光盘。</w:t>
      </w:r>
    </w:p>
    <w:p w14:paraId="55AFDF25">
      <w:pPr>
        <w:spacing w:line="360" w:lineRule="auto"/>
        <w:rPr>
          <w:rFonts w:ascii="仿宋" w:hAnsi="仿宋" w:eastAsia="仿宋"/>
          <w:b/>
          <w:bCs/>
          <w:color w:val="auto"/>
          <w:sz w:val="24"/>
          <w:szCs w:val="28"/>
        </w:rPr>
      </w:pPr>
      <w:r>
        <w:rPr>
          <w:rFonts w:hint="eastAsia" w:ascii="仿宋" w:hAnsi="仿宋" w:eastAsia="仿宋"/>
          <w:b/>
          <w:bCs/>
          <w:color w:val="auto"/>
          <w:sz w:val="24"/>
          <w:szCs w:val="28"/>
        </w:rPr>
        <w:t>五、其它要求</w:t>
      </w:r>
    </w:p>
    <w:p w14:paraId="0CCFA846">
      <w:pPr>
        <w:spacing w:line="360" w:lineRule="auto"/>
        <w:rPr>
          <w:rFonts w:hint="eastAsia" w:ascii="仿宋" w:hAnsi="仿宋" w:eastAsia="仿宋"/>
          <w:color w:val="auto"/>
          <w:sz w:val="24"/>
          <w:szCs w:val="28"/>
        </w:rPr>
      </w:pPr>
      <w:r>
        <w:rPr>
          <w:rFonts w:hint="eastAsia" w:ascii="仿宋" w:hAnsi="仿宋" w:eastAsia="仿宋"/>
          <w:color w:val="auto"/>
          <w:sz w:val="24"/>
          <w:szCs w:val="28"/>
        </w:rPr>
        <w:t>1</w:t>
      </w:r>
      <w:r>
        <w:rPr>
          <w:rFonts w:hint="eastAsia" w:ascii="仿宋" w:hAnsi="仿宋" w:eastAsia="仿宋"/>
          <w:color w:val="auto"/>
          <w:sz w:val="24"/>
          <w:szCs w:val="28"/>
          <w:lang w:eastAsia="zh-CN"/>
        </w:rPr>
        <w:t>、</w:t>
      </w:r>
      <w:r>
        <w:rPr>
          <w:rFonts w:hint="eastAsia" w:ascii="仿宋" w:hAnsi="仿宋" w:eastAsia="仿宋"/>
          <w:color w:val="auto"/>
          <w:sz w:val="24"/>
          <w:szCs w:val="28"/>
        </w:rPr>
        <w:t>服务期限及地点</w:t>
      </w:r>
    </w:p>
    <w:p w14:paraId="3ECE8389">
      <w:pPr>
        <w:spacing w:line="360" w:lineRule="auto"/>
        <w:rPr>
          <w:rFonts w:hint="eastAsia" w:ascii="仿宋" w:hAnsi="仿宋" w:eastAsia="仿宋"/>
          <w:color w:val="auto"/>
          <w:sz w:val="24"/>
          <w:szCs w:val="28"/>
        </w:rPr>
      </w:pPr>
      <w:r>
        <w:rPr>
          <w:rFonts w:hint="eastAsia" w:ascii="仿宋" w:hAnsi="仿宋" w:eastAsia="仿宋"/>
          <w:color w:val="auto"/>
          <w:sz w:val="24"/>
          <w:szCs w:val="28"/>
          <w:lang w:val="en-US" w:eastAsia="zh-CN"/>
        </w:rPr>
        <w:t>服务期限：</w:t>
      </w:r>
      <w:r>
        <w:rPr>
          <w:rFonts w:hint="eastAsia" w:ascii="仿宋" w:hAnsi="仿宋" w:eastAsia="仿宋"/>
          <w:color w:val="auto"/>
          <w:sz w:val="24"/>
          <w:szCs w:val="28"/>
        </w:rPr>
        <w:t>自合同签订之日起60个工作日内完成项目交付；</w:t>
      </w:r>
    </w:p>
    <w:p w14:paraId="57106AE7">
      <w:pPr>
        <w:spacing w:line="360" w:lineRule="auto"/>
        <w:rPr>
          <w:rFonts w:hint="eastAsia" w:ascii="仿宋" w:hAnsi="仿宋" w:eastAsia="仿宋"/>
          <w:color w:val="auto"/>
          <w:sz w:val="24"/>
          <w:szCs w:val="28"/>
          <w:lang w:eastAsia="zh-CN"/>
        </w:rPr>
      </w:pPr>
      <w:r>
        <w:rPr>
          <w:rFonts w:hint="eastAsia" w:ascii="仿宋" w:hAnsi="仿宋" w:eastAsia="仿宋"/>
          <w:color w:val="auto"/>
          <w:sz w:val="24"/>
          <w:szCs w:val="28"/>
        </w:rPr>
        <w:t>服务地点：上海市徐汇区百色支路35号</w:t>
      </w:r>
      <w:r>
        <w:rPr>
          <w:rFonts w:hint="eastAsia" w:ascii="仿宋" w:hAnsi="仿宋" w:eastAsia="仿宋"/>
          <w:color w:val="auto"/>
          <w:sz w:val="24"/>
          <w:szCs w:val="28"/>
          <w:lang w:eastAsia="zh-CN"/>
        </w:rPr>
        <w:t>。</w:t>
      </w:r>
    </w:p>
    <w:p w14:paraId="2BE1FF4E">
      <w:pPr>
        <w:spacing w:line="360" w:lineRule="auto"/>
        <w:rPr>
          <w:rFonts w:ascii="仿宋" w:hAnsi="仿宋" w:eastAsia="仿宋"/>
          <w:color w:val="auto"/>
          <w:sz w:val="24"/>
          <w:szCs w:val="28"/>
        </w:rPr>
      </w:pPr>
      <w:r>
        <w:rPr>
          <w:rFonts w:hint="eastAsia" w:ascii="仿宋" w:hAnsi="仿宋" w:eastAsia="仿宋"/>
          <w:color w:val="auto"/>
          <w:sz w:val="24"/>
          <w:szCs w:val="28"/>
        </w:rPr>
        <w:t>2</w:t>
      </w:r>
      <w:r>
        <w:rPr>
          <w:rFonts w:hint="eastAsia" w:ascii="仿宋" w:hAnsi="仿宋" w:eastAsia="仿宋"/>
          <w:color w:val="auto"/>
          <w:sz w:val="24"/>
          <w:szCs w:val="28"/>
          <w:lang w:eastAsia="zh-CN"/>
        </w:rPr>
        <w:t>、</w:t>
      </w:r>
      <w:r>
        <w:rPr>
          <w:rFonts w:hint="eastAsia" w:ascii="仿宋" w:hAnsi="仿宋" w:eastAsia="仿宋"/>
          <w:color w:val="auto"/>
          <w:sz w:val="24"/>
          <w:szCs w:val="28"/>
        </w:rPr>
        <w:t>付款方式</w:t>
      </w:r>
    </w:p>
    <w:p w14:paraId="180C0F95">
      <w:pPr>
        <w:spacing w:line="360" w:lineRule="auto"/>
        <w:rPr>
          <w:rFonts w:ascii="仿宋" w:hAnsi="仿宋" w:eastAsia="仿宋"/>
          <w:color w:val="auto"/>
          <w:sz w:val="24"/>
          <w:szCs w:val="28"/>
        </w:rPr>
      </w:pPr>
      <w:r>
        <w:rPr>
          <w:rFonts w:hint="eastAsia" w:ascii="仿宋" w:hAnsi="仿宋" w:eastAsia="仿宋"/>
          <w:color w:val="auto"/>
          <w:sz w:val="24"/>
          <w:szCs w:val="28"/>
        </w:rPr>
        <w:t>合同正式生效后</w:t>
      </w:r>
      <w:r>
        <w:rPr>
          <w:rFonts w:hint="eastAsia" w:ascii="仿宋" w:hAnsi="仿宋" w:eastAsia="仿宋"/>
          <w:color w:val="auto"/>
          <w:sz w:val="24"/>
          <w:szCs w:val="28"/>
          <w:u w:val="single"/>
        </w:rPr>
        <w:t>10</w:t>
      </w:r>
      <w:r>
        <w:rPr>
          <w:rFonts w:hint="eastAsia" w:ascii="仿宋" w:hAnsi="仿宋" w:eastAsia="仿宋"/>
          <w:color w:val="auto"/>
          <w:sz w:val="24"/>
          <w:szCs w:val="28"/>
        </w:rPr>
        <w:t>个工作日内，支付合同总价的</w:t>
      </w:r>
      <w:r>
        <w:rPr>
          <w:rFonts w:hint="eastAsia" w:ascii="仿宋" w:hAnsi="仿宋" w:eastAsia="仿宋"/>
          <w:color w:val="auto"/>
          <w:sz w:val="24"/>
          <w:szCs w:val="28"/>
          <w:u w:val="single"/>
        </w:rPr>
        <w:t>50</w:t>
      </w:r>
      <w:r>
        <w:rPr>
          <w:rFonts w:hint="eastAsia" w:ascii="仿宋" w:hAnsi="仿宋" w:eastAsia="仿宋"/>
          <w:color w:val="auto"/>
          <w:sz w:val="24"/>
          <w:szCs w:val="28"/>
        </w:rPr>
        <w:t>%；验收通过后</w:t>
      </w:r>
      <w:r>
        <w:rPr>
          <w:rFonts w:hint="eastAsia" w:ascii="仿宋" w:hAnsi="仿宋" w:eastAsia="仿宋"/>
          <w:color w:val="auto"/>
          <w:sz w:val="24"/>
          <w:szCs w:val="28"/>
          <w:u w:val="single"/>
        </w:rPr>
        <w:t>10</w:t>
      </w:r>
      <w:r>
        <w:rPr>
          <w:rFonts w:hint="eastAsia" w:ascii="仿宋" w:hAnsi="仿宋" w:eastAsia="仿宋"/>
          <w:color w:val="auto"/>
          <w:sz w:val="24"/>
          <w:szCs w:val="28"/>
        </w:rPr>
        <w:t>个工作日内，支付合同总价的</w:t>
      </w:r>
      <w:r>
        <w:rPr>
          <w:rFonts w:hint="eastAsia" w:ascii="仿宋" w:hAnsi="仿宋" w:eastAsia="仿宋"/>
          <w:color w:val="auto"/>
          <w:sz w:val="24"/>
          <w:szCs w:val="28"/>
          <w:u w:val="single"/>
        </w:rPr>
        <w:t>50</w:t>
      </w:r>
      <w:r>
        <w:rPr>
          <w:rFonts w:hint="eastAsia" w:ascii="仿宋" w:hAnsi="仿宋" w:eastAsia="仿宋"/>
          <w:color w:val="auto"/>
          <w:sz w:val="24"/>
          <w:szCs w:val="28"/>
        </w:rPr>
        <w:t>%。</w:t>
      </w:r>
    </w:p>
    <w:p w14:paraId="7409C02A">
      <w:pPr>
        <w:numPr>
          <w:numId w:val="0"/>
        </w:numPr>
        <w:spacing w:line="360" w:lineRule="auto"/>
        <w:rPr>
          <w:rFonts w:hint="eastAsia" w:ascii="仿宋" w:hAnsi="仿宋" w:eastAsia="仿宋"/>
          <w:color w:val="auto"/>
          <w:sz w:val="24"/>
          <w:szCs w:val="28"/>
        </w:rPr>
      </w:pPr>
      <w:r>
        <w:rPr>
          <w:rFonts w:hint="eastAsia" w:ascii="仿宋" w:hAnsi="仿宋" w:eastAsia="仿宋"/>
          <w:color w:val="auto"/>
          <w:sz w:val="24"/>
          <w:szCs w:val="28"/>
          <w:lang w:val="en-US" w:eastAsia="zh-CN"/>
        </w:rPr>
        <w:t>3、</w:t>
      </w:r>
      <w:r>
        <w:rPr>
          <w:rFonts w:hint="eastAsia" w:ascii="仿宋" w:hAnsi="仿宋" w:eastAsia="仿宋"/>
          <w:color w:val="auto"/>
          <w:sz w:val="24"/>
          <w:szCs w:val="28"/>
        </w:rPr>
        <w:t>验收要求或评价标准:跨境电商题库5000道标准化题目+30道实训操作题，导入学校融合平台并提交U盘和光盘。</w:t>
      </w:r>
    </w:p>
    <w:p w14:paraId="6182E080">
      <w:pPr>
        <w:numPr>
          <w:numId w:val="0"/>
        </w:numPr>
        <w:spacing w:line="360" w:lineRule="auto"/>
        <w:rPr>
          <w:rFonts w:hint="default" w:ascii="仿宋" w:hAnsi="仿宋" w:eastAsia="仿宋"/>
          <w:color w:val="auto"/>
          <w:sz w:val="24"/>
          <w:szCs w:val="28"/>
          <w:lang w:val="en-US" w:eastAsia="zh-CN"/>
        </w:rPr>
      </w:pPr>
      <w:r>
        <w:rPr>
          <w:rFonts w:hint="eastAsia" w:ascii="仿宋" w:hAnsi="仿宋" w:eastAsia="仿宋"/>
          <w:color w:val="auto"/>
          <w:sz w:val="24"/>
          <w:szCs w:val="28"/>
          <w:lang w:val="en-US" w:eastAsia="zh-CN"/>
        </w:rPr>
        <w:t>4、质保期：1年。</w:t>
      </w:r>
    </w:p>
    <w:p w14:paraId="6E8E91DC">
      <w:pPr>
        <w:spacing w:line="360" w:lineRule="auto"/>
        <w:rPr>
          <w:rFonts w:ascii="仿宋" w:hAnsi="仿宋" w:eastAsia="仿宋"/>
          <w:color w:val="auto"/>
          <w:sz w:val="24"/>
          <w:szCs w:val="28"/>
        </w:rPr>
      </w:pPr>
      <w:r>
        <w:rPr>
          <w:rFonts w:hint="eastAsia" w:ascii="仿宋" w:hAnsi="仿宋" w:eastAsia="仿宋"/>
          <w:b/>
          <w:bCs/>
          <w:color w:val="auto"/>
          <w:sz w:val="24"/>
          <w:szCs w:val="28"/>
        </w:rPr>
        <w:t>六、报价文件要求</w:t>
      </w:r>
    </w:p>
    <w:p w14:paraId="6E7E8FB1">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1、响应文件须装订成册，并需提供所有响应文件加盖公章的电子文档PDF格式保存于U盘，与响应文件共同密封包装在一个密封袋中。（不接受闪送，顺丰同城需在快递袋标注快递号）</w:t>
      </w:r>
    </w:p>
    <w:p w14:paraId="085B735D">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2、响应文件中不得有任何擦涂、更改痕迹。若需改正错漏，须由响应文件签发人在更正处加签。</w:t>
      </w:r>
    </w:p>
    <w:p w14:paraId="37656637">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3、报价单位提交的所有资质证明资料不得出现伪造痕迹，一经发现，报价无效。</w:t>
      </w:r>
    </w:p>
    <w:p w14:paraId="480F24FF">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ascii="仿宋" w:hAnsi="仿宋" w:eastAsia="仿宋"/>
          <w:color w:val="auto"/>
          <w:sz w:val="24"/>
          <w:szCs w:val="28"/>
        </w:rPr>
      </w:pPr>
      <w:r>
        <w:rPr>
          <w:rFonts w:hint="eastAsia" w:ascii="仿宋" w:hAnsi="仿宋" w:eastAsia="仿宋"/>
          <w:color w:val="auto"/>
          <w:sz w:val="24"/>
          <w:szCs w:val="28"/>
        </w:rPr>
        <w:t>6、报价货币，均应以人民币元报价。</w:t>
      </w:r>
      <w:r>
        <w:rPr>
          <w:rFonts w:hint="eastAsia" w:ascii="仿宋" w:hAnsi="仿宋" w:eastAsia="仿宋"/>
          <w:color w:val="auto"/>
          <w:sz w:val="24"/>
          <w:szCs w:val="28"/>
        </w:rPr>
        <w:br w:type="page"/>
      </w:r>
    </w:p>
    <w:p w14:paraId="6C70E7C0">
      <w:pPr>
        <w:spacing w:line="440" w:lineRule="exact"/>
        <w:rPr>
          <w:sz w:val="24"/>
          <w:szCs w:val="28"/>
        </w:rPr>
      </w:pPr>
      <w:bookmarkStart w:id="0" w:name="OLE_LINK7"/>
      <w:r>
        <w:rPr>
          <w:rFonts w:hint="eastAsia"/>
          <w:sz w:val="24"/>
          <w:szCs w:val="28"/>
        </w:rPr>
        <w:t>附件</w:t>
      </w:r>
      <w:r>
        <w:rPr>
          <w:sz w:val="24"/>
          <w:szCs w:val="28"/>
        </w:rPr>
        <w:t>1</w:t>
      </w:r>
    </w:p>
    <w:p w14:paraId="4277A63D">
      <w:pPr>
        <w:spacing w:line="440" w:lineRule="exact"/>
        <w:jc w:val="center"/>
        <w:rPr>
          <w:rFonts w:ascii="黑体" w:hAnsi="黑体" w:eastAsia="黑体"/>
          <w:bCs/>
          <w:sz w:val="24"/>
          <w:szCs w:val="28"/>
        </w:rPr>
      </w:pPr>
      <w:r>
        <w:rPr>
          <w:rFonts w:hint="eastAsia" w:ascii="黑体" w:hAnsi="黑体" w:eastAsia="黑体"/>
          <w:b/>
          <w:sz w:val="24"/>
          <w:szCs w:val="28"/>
        </w:rPr>
        <w:t>响应承诺书</w:t>
      </w:r>
    </w:p>
    <w:p w14:paraId="033144CF">
      <w:pPr>
        <w:spacing w:line="440" w:lineRule="exact"/>
        <w:rPr>
          <w:rFonts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14297A17">
      <w:pPr>
        <w:spacing w:line="440" w:lineRule="exact"/>
        <w:rPr>
          <w:rFonts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163D8360">
      <w:pPr>
        <w:numPr>
          <w:ilvl w:val="0"/>
          <w:numId w:val="1"/>
        </w:numPr>
        <w:spacing w:line="440" w:lineRule="exact"/>
        <w:rPr>
          <w:rFonts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50E5BB23">
      <w:pPr>
        <w:numPr>
          <w:ilvl w:val="0"/>
          <w:numId w:val="1"/>
        </w:numPr>
        <w:spacing w:line="440" w:lineRule="exact"/>
        <w:rPr>
          <w:rFonts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18490F93">
      <w:pPr>
        <w:numPr>
          <w:ilvl w:val="0"/>
          <w:numId w:val="1"/>
        </w:numPr>
        <w:spacing w:line="440" w:lineRule="exact"/>
        <w:rPr>
          <w:rFonts w:ascii="仿宋" w:hAnsi="仿宋" w:eastAsia="仿宋"/>
          <w:sz w:val="24"/>
          <w:szCs w:val="28"/>
        </w:rPr>
      </w:pPr>
      <w:r>
        <w:rPr>
          <w:rFonts w:hint="eastAsia" w:ascii="仿宋" w:hAnsi="仿宋" w:eastAsia="仿宋"/>
          <w:sz w:val="24"/>
          <w:szCs w:val="28"/>
        </w:rPr>
        <w:t>我方保证遵守报价须知中的有关规定。</w:t>
      </w:r>
    </w:p>
    <w:p w14:paraId="45E7366B">
      <w:pPr>
        <w:numPr>
          <w:ilvl w:val="0"/>
          <w:numId w:val="1"/>
        </w:numPr>
        <w:spacing w:line="440" w:lineRule="exact"/>
        <w:rPr>
          <w:rFonts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521F93AB">
      <w:pPr>
        <w:numPr>
          <w:ilvl w:val="0"/>
          <w:numId w:val="1"/>
        </w:numPr>
        <w:spacing w:line="440" w:lineRule="exact"/>
        <w:rPr>
          <w:rFonts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2070D712">
      <w:pPr>
        <w:numPr>
          <w:ilvl w:val="0"/>
          <w:numId w:val="1"/>
        </w:numPr>
        <w:spacing w:line="440" w:lineRule="exact"/>
        <w:rPr>
          <w:rFonts w:ascii="仿宋" w:hAnsi="仿宋" w:eastAsia="仿宋"/>
          <w:sz w:val="24"/>
          <w:szCs w:val="28"/>
        </w:rPr>
      </w:pPr>
      <w:r>
        <w:rPr>
          <w:rFonts w:hint="eastAsia" w:ascii="仿宋" w:hAnsi="仿宋" w:eastAsia="仿宋"/>
          <w:sz w:val="24"/>
          <w:szCs w:val="28"/>
        </w:rPr>
        <w:t>我方愿意履行自己在响应文件中的全部承诺和责任。</w:t>
      </w:r>
    </w:p>
    <w:p w14:paraId="23F7A01D">
      <w:pPr>
        <w:numPr>
          <w:ilvl w:val="0"/>
          <w:numId w:val="1"/>
        </w:numPr>
        <w:spacing w:line="440" w:lineRule="exact"/>
        <w:rPr>
          <w:rFonts w:ascii="仿宋" w:hAnsi="仿宋" w:eastAsia="仿宋"/>
          <w:sz w:val="24"/>
          <w:szCs w:val="28"/>
        </w:rPr>
      </w:pPr>
      <w:r>
        <w:rPr>
          <w:rFonts w:hint="eastAsia" w:ascii="仿宋" w:hAnsi="仿宋" w:eastAsia="仿宋"/>
          <w:sz w:val="24"/>
          <w:szCs w:val="28"/>
        </w:rPr>
        <w:t>本响应文件自响应截止时间之日起90个日历日内有效。</w:t>
      </w:r>
    </w:p>
    <w:p w14:paraId="6DC63274">
      <w:pPr>
        <w:numPr>
          <w:ilvl w:val="0"/>
          <w:numId w:val="1"/>
        </w:numPr>
        <w:spacing w:line="440" w:lineRule="exact"/>
        <w:rPr>
          <w:rFonts w:ascii="仿宋" w:hAnsi="仿宋" w:eastAsia="仿宋"/>
          <w:sz w:val="24"/>
          <w:szCs w:val="28"/>
        </w:rPr>
      </w:pPr>
      <w:r>
        <w:rPr>
          <w:rFonts w:hint="eastAsia" w:ascii="仿宋" w:hAnsi="仿宋" w:eastAsia="仿宋"/>
          <w:sz w:val="24"/>
          <w:szCs w:val="28"/>
        </w:rPr>
        <w:t>与本项目有关的一切往来通讯请寄：</w:t>
      </w:r>
    </w:p>
    <w:p w14:paraId="678A75A3">
      <w:pPr>
        <w:spacing w:line="440" w:lineRule="exact"/>
        <w:rPr>
          <w:rFonts w:ascii="仿宋" w:hAnsi="仿宋" w:eastAsia="仿宋"/>
          <w:sz w:val="24"/>
          <w:szCs w:val="28"/>
          <w:u w:val="single"/>
        </w:rPr>
      </w:pPr>
      <w:r>
        <w:rPr>
          <w:rFonts w:hint="eastAsia" w:ascii="仿宋" w:hAnsi="仿宋" w:eastAsia="仿宋"/>
          <w:sz w:val="24"/>
          <w:szCs w:val="28"/>
        </w:rPr>
        <w:t>地址：</w:t>
      </w:r>
    </w:p>
    <w:p w14:paraId="45CFE4D4">
      <w:pPr>
        <w:spacing w:line="440" w:lineRule="exact"/>
        <w:rPr>
          <w:rFonts w:ascii="仿宋" w:hAnsi="仿宋" w:eastAsia="仿宋"/>
          <w:sz w:val="24"/>
          <w:szCs w:val="28"/>
        </w:rPr>
      </w:pPr>
      <w:r>
        <w:rPr>
          <w:rFonts w:hint="eastAsia" w:ascii="仿宋" w:hAnsi="仿宋" w:eastAsia="仿宋"/>
          <w:sz w:val="24"/>
          <w:szCs w:val="28"/>
        </w:rPr>
        <w:t xml:space="preserve">邮编： </w:t>
      </w:r>
    </w:p>
    <w:p w14:paraId="538A6119">
      <w:pPr>
        <w:spacing w:line="440" w:lineRule="exact"/>
        <w:rPr>
          <w:rFonts w:ascii="仿宋" w:hAnsi="仿宋" w:eastAsia="仿宋"/>
          <w:sz w:val="24"/>
          <w:szCs w:val="28"/>
        </w:rPr>
      </w:pPr>
      <w:r>
        <w:rPr>
          <w:rFonts w:hint="eastAsia" w:ascii="仿宋" w:hAnsi="仿宋" w:eastAsia="仿宋"/>
          <w:sz w:val="24"/>
          <w:szCs w:val="28"/>
        </w:rPr>
        <w:t xml:space="preserve">电话： </w:t>
      </w:r>
    </w:p>
    <w:p w14:paraId="7EBBCBE1">
      <w:pPr>
        <w:spacing w:line="440" w:lineRule="exact"/>
        <w:rPr>
          <w:rFonts w:ascii="仿宋" w:hAnsi="仿宋" w:eastAsia="仿宋"/>
          <w:sz w:val="24"/>
          <w:szCs w:val="28"/>
        </w:rPr>
      </w:pPr>
      <w:r>
        <w:rPr>
          <w:rFonts w:hint="eastAsia" w:ascii="仿宋" w:hAnsi="仿宋" w:eastAsia="仿宋"/>
          <w:sz w:val="24"/>
          <w:szCs w:val="28"/>
        </w:rPr>
        <w:t>传真：</w:t>
      </w:r>
    </w:p>
    <w:p w14:paraId="058961BD">
      <w:pPr>
        <w:spacing w:line="440" w:lineRule="exact"/>
        <w:rPr>
          <w:rFonts w:ascii="仿宋" w:hAnsi="仿宋" w:eastAsia="仿宋"/>
          <w:sz w:val="24"/>
          <w:szCs w:val="28"/>
        </w:rPr>
      </w:pPr>
      <w:r>
        <w:rPr>
          <w:rFonts w:hint="eastAsia" w:ascii="仿宋" w:hAnsi="仿宋" w:eastAsia="仿宋"/>
          <w:sz w:val="24"/>
          <w:szCs w:val="28"/>
        </w:rPr>
        <w:t>响应单位代表签字：</w:t>
      </w:r>
    </w:p>
    <w:p w14:paraId="027751D3">
      <w:pPr>
        <w:spacing w:line="440" w:lineRule="exact"/>
        <w:rPr>
          <w:rFonts w:ascii="仿宋" w:hAnsi="仿宋" w:eastAsia="仿宋"/>
          <w:sz w:val="24"/>
          <w:szCs w:val="28"/>
        </w:rPr>
      </w:pPr>
      <w:r>
        <w:rPr>
          <w:rFonts w:hint="eastAsia" w:ascii="仿宋" w:hAnsi="仿宋" w:eastAsia="仿宋"/>
          <w:sz w:val="24"/>
          <w:szCs w:val="28"/>
        </w:rPr>
        <w:t>响应单位名称（盖公章）：</w:t>
      </w:r>
    </w:p>
    <w:p w14:paraId="368ACE0A">
      <w:pPr>
        <w:spacing w:line="440" w:lineRule="exact"/>
        <w:rPr>
          <w:rFonts w:ascii="仿宋" w:hAnsi="仿宋" w:eastAsia="仿宋"/>
          <w:sz w:val="24"/>
          <w:szCs w:val="28"/>
        </w:rPr>
      </w:pPr>
      <w:r>
        <w:rPr>
          <w:rFonts w:hint="eastAsia" w:ascii="仿宋" w:hAnsi="仿宋" w:eastAsia="仿宋"/>
          <w:sz w:val="24"/>
          <w:szCs w:val="28"/>
        </w:rPr>
        <w:t>日     期：</w:t>
      </w:r>
    </w:p>
    <w:p w14:paraId="060F2CEE">
      <w:pPr>
        <w:spacing w:line="440" w:lineRule="exact"/>
        <w:rPr>
          <w:rFonts w:ascii="仿宋" w:hAnsi="仿宋" w:eastAsia="仿宋"/>
          <w:sz w:val="24"/>
          <w:szCs w:val="28"/>
        </w:rPr>
      </w:pPr>
    </w:p>
    <w:p w14:paraId="0F3B6208">
      <w:pPr>
        <w:widowControl/>
        <w:jc w:val="left"/>
        <w:rPr>
          <w:rFonts w:ascii="仿宋" w:hAnsi="仿宋" w:eastAsia="仿宋"/>
          <w:sz w:val="24"/>
          <w:szCs w:val="28"/>
        </w:rPr>
      </w:pPr>
      <w:r>
        <w:rPr>
          <w:rFonts w:hint="eastAsia" w:ascii="仿宋" w:hAnsi="仿宋" w:eastAsia="仿宋"/>
          <w:sz w:val="24"/>
          <w:szCs w:val="28"/>
        </w:rPr>
        <w:br w:type="page"/>
      </w:r>
    </w:p>
    <w:p w14:paraId="742C8FE4">
      <w:pPr>
        <w:spacing w:line="440" w:lineRule="exact"/>
        <w:rPr>
          <w:sz w:val="24"/>
          <w:szCs w:val="28"/>
        </w:rPr>
      </w:pPr>
      <w:r>
        <w:rPr>
          <w:rFonts w:hint="eastAsia"/>
          <w:sz w:val="24"/>
          <w:szCs w:val="28"/>
        </w:rPr>
        <w:t>附件</w:t>
      </w:r>
      <w:r>
        <w:rPr>
          <w:sz w:val="24"/>
          <w:szCs w:val="28"/>
        </w:rPr>
        <w:t>2</w:t>
      </w:r>
    </w:p>
    <w:p w14:paraId="6C990680">
      <w:pPr>
        <w:spacing w:line="440" w:lineRule="exact"/>
        <w:rPr>
          <w:b/>
          <w:sz w:val="24"/>
          <w:szCs w:val="28"/>
        </w:rPr>
      </w:pPr>
    </w:p>
    <w:p w14:paraId="459B5343">
      <w:pPr>
        <w:spacing w:line="440" w:lineRule="exact"/>
        <w:jc w:val="center"/>
        <w:rPr>
          <w:b/>
          <w:sz w:val="24"/>
          <w:szCs w:val="28"/>
        </w:rPr>
      </w:pPr>
      <w:r>
        <w:rPr>
          <w:rFonts w:hint="eastAsia"/>
          <w:b/>
          <w:sz w:val="24"/>
          <w:szCs w:val="28"/>
        </w:rPr>
        <w:t>报价单</w:t>
      </w:r>
    </w:p>
    <w:p w14:paraId="72D6076E">
      <w:pPr>
        <w:spacing w:line="440" w:lineRule="exact"/>
        <w:rPr>
          <w:rFonts w:ascii="仿宋" w:hAnsi="仿宋" w:eastAsia="仿宋"/>
          <w:sz w:val="24"/>
          <w:szCs w:val="28"/>
        </w:rPr>
      </w:pPr>
      <w:r>
        <w:rPr>
          <w:rFonts w:hint="eastAsia" w:ascii="仿宋" w:hAnsi="仿宋" w:eastAsia="仿宋"/>
          <w:sz w:val="24"/>
          <w:szCs w:val="28"/>
        </w:rPr>
        <w:t>致：上海市工商外国语学校：</w:t>
      </w:r>
    </w:p>
    <w:p w14:paraId="17E7FBDA">
      <w:pPr>
        <w:spacing w:line="440" w:lineRule="exact"/>
        <w:ind w:firstLine="480" w:firstLineChars="200"/>
        <w:rPr>
          <w:rFonts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0719B95D">
      <w:pPr>
        <w:spacing w:line="440" w:lineRule="exact"/>
        <w:rPr>
          <w:rFonts w:ascii="仿宋" w:hAnsi="仿宋" w:eastAsia="仿宋"/>
          <w:sz w:val="24"/>
          <w:szCs w:val="28"/>
        </w:rPr>
      </w:pPr>
    </w:p>
    <w:p w14:paraId="00E8E0CF">
      <w:pPr>
        <w:spacing w:line="440" w:lineRule="exact"/>
        <w:rPr>
          <w:rFonts w:ascii="仿宋" w:hAnsi="仿宋" w:eastAsia="仿宋"/>
          <w:sz w:val="24"/>
          <w:szCs w:val="28"/>
        </w:rPr>
      </w:pPr>
      <w:r>
        <w:rPr>
          <w:rFonts w:hint="eastAsia" w:ascii="仿宋" w:hAnsi="仿宋" w:eastAsia="仿宋"/>
          <w:sz w:val="24"/>
          <w:szCs w:val="28"/>
        </w:rPr>
        <w:t>服务报价内容</w:t>
      </w:r>
    </w:p>
    <w:p w14:paraId="01050546">
      <w:pPr>
        <w:spacing w:line="440" w:lineRule="exact"/>
        <w:rPr>
          <w:rFonts w:ascii="仿宋" w:hAnsi="仿宋" w:eastAsia="仿宋"/>
          <w:sz w:val="24"/>
          <w:szCs w:val="28"/>
        </w:rPr>
      </w:pPr>
      <w:r>
        <w:rPr>
          <w:rFonts w:hint="eastAsia" w:ascii="仿宋" w:hAnsi="仿宋" w:eastAsia="仿宋"/>
          <w:sz w:val="24"/>
          <w:szCs w:val="28"/>
        </w:rPr>
        <w:t>（服务内容自拟）</w:t>
      </w:r>
    </w:p>
    <w:p w14:paraId="38A7F804">
      <w:pPr>
        <w:spacing w:line="440" w:lineRule="exact"/>
        <w:rPr>
          <w:rFonts w:ascii="仿宋" w:hAnsi="仿宋" w:eastAsia="仿宋"/>
          <w:sz w:val="24"/>
          <w:szCs w:val="28"/>
        </w:rPr>
      </w:pPr>
    </w:p>
    <w:p w14:paraId="1EE28F87">
      <w:pPr>
        <w:spacing w:line="440" w:lineRule="exact"/>
        <w:rPr>
          <w:rFonts w:ascii="仿宋" w:hAnsi="仿宋" w:eastAsia="仿宋"/>
          <w:sz w:val="24"/>
          <w:szCs w:val="28"/>
        </w:rPr>
      </w:pPr>
    </w:p>
    <w:p w14:paraId="74A8DFA5">
      <w:pPr>
        <w:spacing w:line="440" w:lineRule="exact"/>
        <w:rPr>
          <w:rFonts w:ascii="仿宋" w:hAnsi="仿宋" w:eastAsia="仿宋"/>
          <w:sz w:val="24"/>
          <w:szCs w:val="28"/>
        </w:rPr>
      </w:pPr>
    </w:p>
    <w:p w14:paraId="0D98A03A">
      <w:pPr>
        <w:spacing w:line="440" w:lineRule="exact"/>
        <w:rPr>
          <w:rFonts w:ascii="仿宋" w:hAnsi="仿宋" w:eastAsia="仿宋"/>
          <w:sz w:val="24"/>
          <w:szCs w:val="28"/>
        </w:rPr>
      </w:pPr>
    </w:p>
    <w:p w14:paraId="3347781C">
      <w:pPr>
        <w:spacing w:line="440" w:lineRule="exact"/>
        <w:rPr>
          <w:rFonts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57D79600">
      <w:pPr>
        <w:spacing w:line="440" w:lineRule="exact"/>
        <w:rPr>
          <w:rFonts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04A250F3">
      <w:pPr>
        <w:spacing w:line="440" w:lineRule="exact"/>
        <w:rPr>
          <w:rFonts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620830AC">
      <w:pPr>
        <w:spacing w:line="440" w:lineRule="exact"/>
        <w:rPr>
          <w:rFonts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6F4031BD">
      <w:pPr>
        <w:spacing w:line="440" w:lineRule="exact"/>
        <w:rPr>
          <w:rFonts w:ascii="仿宋" w:hAnsi="仿宋" w:eastAsia="仿宋"/>
          <w:sz w:val="24"/>
          <w:szCs w:val="28"/>
        </w:rPr>
      </w:pPr>
    </w:p>
    <w:p w14:paraId="0CC11826">
      <w:pPr>
        <w:widowControl/>
        <w:jc w:val="left"/>
        <w:rPr>
          <w:rFonts w:ascii="仿宋" w:hAnsi="仿宋" w:eastAsia="仿宋"/>
          <w:sz w:val="24"/>
          <w:szCs w:val="28"/>
        </w:rPr>
      </w:pPr>
      <w:r>
        <w:rPr>
          <w:rFonts w:hint="eastAsia" w:ascii="仿宋" w:hAnsi="仿宋" w:eastAsia="仿宋"/>
          <w:sz w:val="24"/>
          <w:szCs w:val="28"/>
        </w:rPr>
        <w:br w:type="page"/>
      </w:r>
    </w:p>
    <w:p w14:paraId="66C82047">
      <w:pPr>
        <w:spacing w:line="440" w:lineRule="exact"/>
        <w:rPr>
          <w:sz w:val="24"/>
          <w:szCs w:val="28"/>
        </w:rPr>
      </w:pPr>
      <w:r>
        <w:rPr>
          <w:rFonts w:hint="eastAsia"/>
          <w:sz w:val="24"/>
          <w:szCs w:val="28"/>
        </w:rPr>
        <w:t>附件</w:t>
      </w:r>
      <w:r>
        <w:rPr>
          <w:sz w:val="24"/>
          <w:szCs w:val="28"/>
        </w:rPr>
        <w:t>3</w:t>
      </w:r>
    </w:p>
    <w:p w14:paraId="268B1FA8">
      <w:pPr>
        <w:spacing w:line="440" w:lineRule="exact"/>
        <w:rPr>
          <w:b/>
          <w:bCs/>
          <w:sz w:val="24"/>
          <w:szCs w:val="28"/>
        </w:rPr>
      </w:pPr>
    </w:p>
    <w:p w14:paraId="424A3E08">
      <w:pPr>
        <w:spacing w:line="440" w:lineRule="exact"/>
        <w:jc w:val="center"/>
        <w:rPr>
          <w:sz w:val="24"/>
          <w:szCs w:val="28"/>
        </w:rPr>
      </w:pPr>
      <w:r>
        <w:rPr>
          <w:rFonts w:hint="eastAsia"/>
          <w:b/>
          <w:bCs/>
          <w:sz w:val="24"/>
          <w:szCs w:val="28"/>
        </w:rPr>
        <w:t>服务方案及承诺（格式可自拟）</w:t>
      </w:r>
    </w:p>
    <w:p w14:paraId="353A961E">
      <w:pPr>
        <w:spacing w:line="440" w:lineRule="exact"/>
        <w:rPr>
          <w:b/>
          <w:bCs/>
          <w:sz w:val="24"/>
          <w:szCs w:val="28"/>
        </w:rPr>
      </w:pPr>
    </w:p>
    <w:p w14:paraId="239DD53E">
      <w:pPr>
        <w:spacing w:line="440" w:lineRule="exact"/>
        <w:ind w:firstLine="480" w:firstLineChars="200"/>
        <w:rPr>
          <w:rFonts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790A64EA">
      <w:pPr>
        <w:spacing w:line="440" w:lineRule="exact"/>
        <w:rPr>
          <w:rFonts w:ascii="仿宋" w:hAnsi="仿宋" w:eastAsia="仿宋"/>
          <w:sz w:val="24"/>
          <w:szCs w:val="28"/>
        </w:rPr>
      </w:pPr>
    </w:p>
    <w:p w14:paraId="1ECE6A75">
      <w:pPr>
        <w:spacing w:line="440" w:lineRule="exact"/>
        <w:rPr>
          <w:rFonts w:ascii="仿宋" w:hAnsi="仿宋" w:eastAsia="仿宋"/>
          <w:sz w:val="24"/>
          <w:szCs w:val="28"/>
        </w:rPr>
      </w:pPr>
    </w:p>
    <w:p w14:paraId="6FD6D14F">
      <w:pPr>
        <w:spacing w:line="440" w:lineRule="exact"/>
        <w:rPr>
          <w:rFonts w:ascii="仿宋" w:hAnsi="仿宋" w:eastAsia="仿宋"/>
          <w:sz w:val="24"/>
          <w:szCs w:val="28"/>
        </w:rPr>
      </w:pPr>
    </w:p>
    <w:p w14:paraId="1F28B67E">
      <w:pPr>
        <w:spacing w:line="440" w:lineRule="exact"/>
        <w:rPr>
          <w:rFonts w:ascii="仿宋" w:hAnsi="仿宋" w:eastAsia="仿宋"/>
          <w:sz w:val="24"/>
          <w:szCs w:val="28"/>
        </w:rPr>
      </w:pPr>
    </w:p>
    <w:p w14:paraId="77EDBDBC">
      <w:pPr>
        <w:spacing w:line="440" w:lineRule="exact"/>
        <w:rPr>
          <w:rFonts w:ascii="仿宋" w:hAnsi="仿宋" w:eastAsia="仿宋"/>
          <w:sz w:val="24"/>
          <w:szCs w:val="28"/>
        </w:rPr>
      </w:pPr>
      <w:r>
        <w:rPr>
          <w:rFonts w:hint="eastAsia" w:ascii="仿宋" w:hAnsi="仿宋" w:eastAsia="仿宋"/>
          <w:sz w:val="24"/>
          <w:szCs w:val="28"/>
        </w:rPr>
        <w:t>承诺内容应包括：</w:t>
      </w:r>
    </w:p>
    <w:p w14:paraId="7694DDD0">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480E72F7">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6D5D580D">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3107E143">
      <w:pPr>
        <w:spacing w:line="440" w:lineRule="exact"/>
        <w:rPr>
          <w:sz w:val="24"/>
          <w:szCs w:val="28"/>
        </w:rPr>
        <w:sectPr>
          <w:pgSz w:w="11906" w:h="16838"/>
          <w:pgMar w:top="1440" w:right="1800" w:bottom="1440" w:left="1800" w:header="851" w:footer="992" w:gutter="0"/>
          <w:cols w:space="720" w:num="1"/>
          <w:docGrid w:type="lines" w:linePitch="312" w:charSpace="0"/>
        </w:sectPr>
      </w:pPr>
    </w:p>
    <w:p w14:paraId="1659889B">
      <w:pPr>
        <w:spacing w:line="440" w:lineRule="exact"/>
        <w:rPr>
          <w:sz w:val="24"/>
          <w:szCs w:val="28"/>
        </w:rPr>
      </w:pPr>
      <w:r>
        <w:rPr>
          <w:rFonts w:hint="eastAsia"/>
          <w:sz w:val="24"/>
          <w:szCs w:val="28"/>
        </w:rPr>
        <w:t>附件</w:t>
      </w:r>
      <w:r>
        <w:rPr>
          <w:sz w:val="24"/>
          <w:szCs w:val="28"/>
        </w:rPr>
        <w:t>4</w:t>
      </w:r>
    </w:p>
    <w:p w14:paraId="03DA5DCE">
      <w:pPr>
        <w:spacing w:line="440" w:lineRule="exact"/>
        <w:rPr>
          <w:sz w:val="24"/>
          <w:szCs w:val="28"/>
        </w:rPr>
      </w:pPr>
    </w:p>
    <w:p w14:paraId="6B4D63DA">
      <w:pPr>
        <w:spacing w:line="440" w:lineRule="exact"/>
        <w:jc w:val="center"/>
        <w:rPr>
          <w:b/>
          <w:bCs/>
          <w:sz w:val="24"/>
          <w:szCs w:val="28"/>
        </w:rPr>
      </w:pPr>
      <w:r>
        <w:rPr>
          <w:rFonts w:hint="eastAsia"/>
          <w:b/>
          <w:bCs/>
          <w:sz w:val="24"/>
          <w:szCs w:val="28"/>
        </w:rPr>
        <w:t>报价企业概况（格式可自拟）</w:t>
      </w:r>
    </w:p>
    <w:p w14:paraId="12FC8EFF">
      <w:pPr>
        <w:spacing w:line="440" w:lineRule="exact"/>
        <w:rPr>
          <w:b/>
          <w:bCs/>
          <w:sz w:val="24"/>
          <w:szCs w:val="28"/>
        </w:rPr>
      </w:pPr>
    </w:p>
    <w:p w14:paraId="7E067638">
      <w:pPr>
        <w:spacing w:line="440" w:lineRule="exact"/>
        <w:rPr>
          <w:b/>
          <w:bCs/>
          <w:sz w:val="24"/>
          <w:szCs w:val="28"/>
        </w:rPr>
      </w:pPr>
    </w:p>
    <w:p w14:paraId="58F23B47">
      <w:pPr>
        <w:spacing w:line="440" w:lineRule="exact"/>
        <w:rPr>
          <w:b/>
          <w:bCs/>
          <w:sz w:val="24"/>
          <w:szCs w:val="28"/>
        </w:rPr>
      </w:pPr>
    </w:p>
    <w:p w14:paraId="5FD8F339">
      <w:pPr>
        <w:spacing w:line="440" w:lineRule="exact"/>
        <w:rPr>
          <w:sz w:val="24"/>
          <w:szCs w:val="28"/>
        </w:rPr>
        <w:sectPr>
          <w:pgSz w:w="11906" w:h="16838"/>
          <w:pgMar w:top="1440" w:right="1800" w:bottom="1440" w:left="1800" w:header="851" w:footer="992" w:gutter="0"/>
          <w:cols w:space="720" w:num="1"/>
          <w:docGrid w:type="lines" w:linePitch="312" w:charSpace="0"/>
        </w:sectPr>
      </w:pPr>
    </w:p>
    <w:p w14:paraId="20F7C925">
      <w:pPr>
        <w:spacing w:line="440" w:lineRule="exact"/>
        <w:rPr>
          <w:sz w:val="24"/>
          <w:szCs w:val="28"/>
        </w:rPr>
      </w:pPr>
      <w:r>
        <w:rPr>
          <w:rFonts w:hint="eastAsia"/>
          <w:sz w:val="24"/>
          <w:szCs w:val="28"/>
        </w:rPr>
        <w:t>附件</w:t>
      </w:r>
      <w:r>
        <w:rPr>
          <w:sz w:val="24"/>
          <w:szCs w:val="28"/>
        </w:rPr>
        <w:t>5</w:t>
      </w:r>
    </w:p>
    <w:p w14:paraId="5CEC5872">
      <w:pPr>
        <w:spacing w:line="440" w:lineRule="exact"/>
        <w:jc w:val="center"/>
        <w:rPr>
          <w:b/>
          <w:bCs/>
          <w:sz w:val="24"/>
          <w:szCs w:val="28"/>
        </w:rPr>
      </w:pPr>
      <w:r>
        <w:rPr>
          <w:rFonts w:hint="eastAsia"/>
          <w:b/>
          <w:bCs/>
          <w:sz w:val="24"/>
          <w:szCs w:val="28"/>
        </w:rPr>
        <w:t>资格证明文件</w:t>
      </w:r>
    </w:p>
    <w:p w14:paraId="7209FC9B">
      <w:pPr>
        <w:numPr>
          <w:ilvl w:val="0"/>
          <w:numId w:val="2"/>
        </w:numPr>
        <w:spacing w:line="440" w:lineRule="exact"/>
        <w:rPr>
          <w:rFonts w:ascii="仿宋" w:hAnsi="仿宋" w:eastAsia="仿宋"/>
          <w:sz w:val="24"/>
          <w:szCs w:val="28"/>
        </w:rPr>
      </w:pPr>
      <w:r>
        <w:rPr>
          <w:rFonts w:hint="eastAsia" w:ascii="仿宋" w:hAnsi="仿宋" w:eastAsia="仿宋"/>
          <w:sz w:val="24"/>
          <w:szCs w:val="28"/>
        </w:rPr>
        <w:t>企业营业执照（复印件）</w:t>
      </w:r>
    </w:p>
    <w:p w14:paraId="042CB56E">
      <w:pPr>
        <w:numPr>
          <w:ilvl w:val="0"/>
          <w:numId w:val="2"/>
        </w:numPr>
        <w:spacing w:line="440" w:lineRule="exact"/>
        <w:rPr>
          <w:rFonts w:ascii="仿宋" w:hAnsi="仿宋" w:eastAsia="仿宋"/>
          <w:sz w:val="24"/>
          <w:szCs w:val="28"/>
        </w:rPr>
      </w:pPr>
      <w:r>
        <w:rPr>
          <w:rFonts w:hint="eastAsia" w:ascii="仿宋" w:hAnsi="仿宋" w:eastAsia="仿宋"/>
          <w:sz w:val="24"/>
          <w:szCs w:val="28"/>
        </w:rPr>
        <w:t>其他资格证明文件</w:t>
      </w:r>
    </w:p>
    <w:p w14:paraId="4238FED3">
      <w:pPr>
        <w:spacing w:line="440" w:lineRule="exact"/>
        <w:rPr>
          <w:rFonts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1F94B188">
      <w:pPr>
        <w:spacing w:line="440" w:lineRule="exact"/>
        <w:rPr>
          <w:rFonts w:ascii="仿宋" w:hAnsi="仿宋" w:eastAsia="仿宋"/>
          <w:sz w:val="24"/>
          <w:szCs w:val="28"/>
        </w:rPr>
      </w:pPr>
    </w:p>
    <w:p w14:paraId="266B6FD2">
      <w:pPr>
        <w:spacing w:line="440" w:lineRule="exact"/>
        <w:rPr>
          <w:rFonts w:ascii="仿宋" w:hAnsi="仿宋" w:eastAsia="仿宋"/>
          <w:b/>
          <w:bCs/>
          <w:sz w:val="24"/>
          <w:szCs w:val="28"/>
        </w:rPr>
      </w:pPr>
      <w:r>
        <w:rPr>
          <w:rFonts w:hint="eastAsia" w:ascii="仿宋" w:hAnsi="仿宋" w:eastAsia="仿宋"/>
          <w:b/>
          <w:bCs/>
          <w:sz w:val="24"/>
          <w:szCs w:val="28"/>
        </w:rPr>
        <w:t>注意：</w:t>
      </w:r>
    </w:p>
    <w:p w14:paraId="02AD94B9">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582F30FB">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2576FABC">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607DB7D7">
      <w:pPr>
        <w:spacing w:line="440" w:lineRule="exact"/>
        <w:rPr>
          <w:sz w:val="24"/>
          <w:szCs w:val="28"/>
        </w:rPr>
        <w:sectPr>
          <w:pgSz w:w="11906" w:h="16838"/>
          <w:pgMar w:top="1440" w:right="1800" w:bottom="1440" w:left="1800" w:header="851" w:footer="992" w:gutter="0"/>
          <w:cols w:space="720" w:num="1"/>
          <w:docGrid w:type="lines" w:linePitch="312" w:charSpace="0"/>
        </w:sectPr>
      </w:pPr>
    </w:p>
    <w:p w14:paraId="5202A020">
      <w:pPr>
        <w:spacing w:line="440" w:lineRule="exact"/>
        <w:rPr>
          <w:sz w:val="24"/>
          <w:szCs w:val="28"/>
        </w:rPr>
      </w:pPr>
      <w:r>
        <w:rPr>
          <w:rFonts w:hint="eastAsia"/>
          <w:sz w:val="24"/>
          <w:szCs w:val="28"/>
        </w:rPr>
        <w:t>附件</w:t>
      </w:r>
      <w:r>
        <w:rPr>
          <w:sz w:val="24"/>
          <w:szCs w:val="28"/>
        </w:rPr>
        <w:t>6</w:t>
      </w:r>
    </w:p>
    <w:p w14:paraId="49C5D07A">
      <w:pPr>
        <w:spacing w:line="440" w:lineRule="exact"/>
        <w:rPr>
          <w:b/>
          <w:sz w:val="24"/>
          <w:szCs w:val="28"/>
        </w:rPr>
      </w:pPr>
    </w:p>
    <w:p w14:paraId="44DBC4E4">
      <w:pPr>
        <w:spacing w:line="440" w:lineRule="exact"/>
        <w:jc w:val="center"/>
        <w:rPr>
          <w:b/>
          <w:bCs/>
          <w:sz w:val="24"/>
          <w:szCs w:val="28"/>
        </w:rPr>
      </w:pPr>
      <w:bookmarkStart w:id="1" w:name="OLE_LINK3"/>
      <w:r>
        <w:rPr>
          <w:rFonts w:hint="eastAsia"/>
          <w:b/>
          <w:sz w:val="24"/>
          <w:szCs w:val="28"/>
        </w:rPr>
        <w:t>近三年项目业绩表</w:t>
      </w:r>
      <w:r>
        <w:rPr>
          <w:rFonts w:hint="eastAsia"/>
          <w:b/>
          <w:bCs/>
          <w:sz w:val="24"/>
          <w:szCs w:val="28"/>
        </w:rPr>
        <w:t>（格式可拟定，业绩表内的项目须提供配套合同复印件）</w:t>
      </w:r>
      <w:bookmarkEnd w:id="1"/>
    </w:p>
    <w:p w14:paraId="4BA04AD8">
      <w:pPr>
        <w:spacing w:line="440" w:lineRule="exact"/>
        <w:jc w:val="center"/>
        <w:rPr>
          <w:sz w:val="24"/>
          <w:szCs w:val="28"/>
        </w:rPr>
      </w:pPr>
    </w:p>
    <w:p w14:paraId="3E1D403C">
      <w:pPr>
        <w:spacing w:line="440" w:lineRule="exact"/>
        <w:rPr>
          <w:bCs/>
          <w:sz w:val="24"/>
          <w:szCs w:val="28"/>
        </w:rPr>
      </w:pPr>
    </w:p>
    <w:tbl>
      <w:tblPr>
        <w:tblStyle w:val="18"/>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ascii="仿宋" w:hAnsi="仿宋" w:eastAsia="仿宋"/>
                <w:bCs/>
                <w:sz w:val="24"/>
                <w:szCs w:val="28"/>
              </w:rPr>
            </w:pPr>
            <w:r>
              <w:rPr>
                <w:rFonts w:hint="eastAsia" w:ascii="仿宋" w:hAnsi="仿宋" w:eastAsia="仿宋"/>
                <w:bCs/>
                <w:sz w:val="24"/>
                <w:szCs w:val="28"/>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ascii="仿宋" w:hAnsi="仿宋" w:eastAsia="仿宋"/>
                <w:bCs/>
                <w:sz w:val="24"/>
                <w:szCs w:val="28"/>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ascii="仿宋" w:hAnsi="仿宋" w:eastAsia="仿宋"/>
                <w:bCs/>
                <w:sz w:val="24"/>
                <w:szCs w:val="28"/>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ascii="仿宋" w:hAnsi="仿宋" w:eastAsia="仿宋"/>
                <w:bCs/>
                <w:sz w:val="24"/>
                <w:szCs w:val="28"/>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ascii="仿宋" w:hAnsi="仿宋" w:eastAsia="仿宋"/>
                <w:bCs/>
                <w:sz w:val="24"/>
                <w:szCs w:val="28"/>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ascii="仿宋" w:hAnsi="仿宋" w:eastAsia="仿宋"/>
                <w:bCs/>
                <w:sz w:val="24"/>
                <w:szCs w:val="28"/>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ascii="仿宋" w:hAnsi="仿宋" w:eastAsia="仿宋"/>
                <w:bCs/>
                <w:sz w:val="24"/>
                <w:szCs w:val="28"/>
              </w:rPr>
            </w:pPr>
          </w:p>
        </w:tc>
      </w:tr>
    </w:tbl>
    <w:p w14:paraId="6E9C8E1C">
      <w:pPr>
        <w:spacing w:line="440" w:lineRule="exact"/>
        <w:rPr>
          <w:rFonts w:ascii="仿宋" w:hAnsi="仿宋" w:eastAsia="仿宋"/>
          <w:bCs/>
          <w:sz w:val="24"/>
          <w:szCs w:val="28"/>
        </w:rPr>
      </w:pPr>
    </w:p>
    <w:p w14:paraId="0704B92B">
      <w:pPr>
        <w:spacing w:line="440" w:lineRule="exact"/>
        <w:rPr>
          <w:rFonts w:ascii="仿宋" w:hAnsi="仿宋" w:eastAsia="仿宋"/>
          <w:bCs/>
          <w:sz w:val="24"/>
          <w:szCs w:val="28"/>
        </w:rPr>
      </w:pPr>
    </w:p>
    <w:p w14:paraId="5B4056CC">
      <w:pPr>
        <w:spacing w:line="440" w:lineRule="exact"/>
        <w:rPr>
          <w:rFonts w:ascii="仿宋" w:hAnsi="仿宋" w:eastAsia="仿宋"/>
          <w:bCs/>
          <w:sz w:val="24"/>
          <w:szCs w:val="28"/>
        </w:rPr>
      </w:pPr>
    </w:p>
    <w:p w14:paraId="4E4EC872">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3F6C8C50">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424FBD2B">
      <w:pPr>
        <w:spacing w:line="440" w:lineRule="exact"/>
        <w:rPr>
          <w:rFonts w:ascii="仿宋" w:hAnsi="仿宋" w:eastAsia="仿宋"/>
          <w:sz w:val="24"/>
          <w:szCs w:val="28"/>
        </w:rPr>
      </w:pPr>
    </w:p>
    <w:p w14:paraId="0818E7E0">
      <w:pPr>
        <w:spacing w:line="440" w:lineRule="exact"/>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3E843A44">
      <w:pPr>
        <w:spacing w:line="440" w:lineRule="exact"/>
        <w:rPr>
          <w:rFonts w:ascii="仿宋" w:hAnsi="仿宋" w:eastAsia="仿宋"/>
          <w:b/>
          <w:bCs/>
          <w:sz w:val="24"/>
          <w:szCs w:val="28"/>
        </w:rPr>
      </w:pPr>
    </w:p>
    <w:p w14:paraId="71BC1DE3">
      <w:pPr>
        <w:spacing w:line="440" w:lineRule="exact"/>
        <w:rPr>
          <w:b/>
          <w:bCs/>
          <w:sz w:val="24"/>
          <w:szCs w:val="28"/>
        </w:rPr>
        <w:sectPr>
          <w:pgSz w:w="11906" w:h="16838"/>
          <w:pgMar w:top="1247" w:right="1474" w:bottom="1247" w:left="1474" w:header="851" w:footer="992" w:gutter="0"/>
          <w:cols w:space="720" w:num="1"/>
        </w:sectPr>
      </w:pPr>
    </w:p>
    <w:p w14:paraId="58D38FD7">
      <w:pPr>
        <w:spacing w:line="440" w:lineRule="exact"/>
        <w:rPr>
          <w:sz w:val="24"/>
          <w:szCs w:val="28"/>
        </w:rPr>
      </w:pPr>
      <w:r>
        <w:rPr>
          <w:rFonts w:hint="eastAsia"/>
          <w:sz w:val="24"/>
          <w:szCs w:val="28"/>
        </w:rPr>
        <w:t>附件</w:t>
      </w:r>
      <w:r>
        <w:rPr>
          <w:sz w:val="24"/>
          <w:szCs w:val="28"/>
        </w:rPr>
        <w:t>7</w:t>
      </w:r>
    </w:p>
    <w:p w14:paraId="4742070B">
      <w:pPr>
        <w:spacing w:line="440" w:lineRule="exact"/>
        <w:rPr>
          <w:sz w:val="24"/>
          <w:szCs w:val="28"/>
        </w:rPr>
      </w:pPr>
    </w:p>
    <w:p w14:paraId="4B1505F7">
      <w:pPr>
        <w:spacing w:line="440" w:lineRule="exact"/>
        <w:jc w:val="center"/>
        <w:rPr>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0092ADD3">
      <w:pPr>
        <w:spacing w:line="440" w:lineRule="exact"/>
        <w:ind w:firstLine="480" w:firstLineChars="200"/>
        <w:rPr>
          <w:rFonts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16232A02">
      <w:pPr>
        <w:spacing w:line="440" w:lineRule="exact"/>
        <w:ind w:firstLine="480" w:firstLineChars="200"/>
        <w:rPr>
          <w:rFonts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ascii="仿宋" w:hAnsi="仿宋" w:eastAsia="仿宋"/>
          <w:bCs/>
          <w:sz w:val="24"/>
          <w:szCs w:val="28"/>
        </w:rPr>
      </w:pPr>
    </w:p>
    <w:p w14:paraId="0AC79DEE">
      <w:pPr>
        <w:spacing w:line="440" w:lineRule="exact"/>
        <w:rPr>
          <w:rFonts w:ascii="仿宋" w:hAnsi="仿宋" w:eastAsia="仿宋"/>
          <w:bCs/>
          <w:sz w:val="24"/>
          <w:szCs w:val="28"/>
        </w:rPr>
      </w:pPr>
    </w:p>
    <w:p w14:paraId="27026451">
      <w:pPr>
        <w:spacing w:line="440" w:lineRule="exact"/>
        <w:rPr>
          <w:rFonts w:ascii="仿宋" w:hAnsi="仿宋" w:eastAsia="仿宋"/>
          <w:bCs/>
          <w:sz w:val="24"/>
          <w:szCs w:val="28"/>
        </w:rPr>
      </w:pPr>
    </w:p>
    <w:p w14:paraId="21CF3B63">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26261524">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1E05C731">
      <w:pPr>
        <w:spacing w:line="440" w:lineRule="exact"/>
        <w:rPr>
          <w:rFonts w:ascii="仿宋" w:hAnsi="仿宋" w:eastAsia="仿宋"/>
          <w:sz w:val="24"/>
          <w:szCs w:val="28"/>
        </w:rPr>
      </w:pPr>
    </w:p>
    <w:p w14:paraId="14F12443">
      <w:pPr>
        <w:spacing w:line="360" w:lineRule="auto"/>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bookmarkEnd w:id="0"/>
    </w:p>
    <w:p w14:paraId="20148CC5">
      <w:pPr>
        <w:keepNext w:val="0"/>
        <w:keepLines w:val="0"/>
        <w:pageBreakBefore/>
        <w:widowControl w:val="0"/>
        <w:kinsoku/>
        <w:wordWrap/>
        <w:overflowPunct/>
        <w:topLinePunct w:val="0"/>
        <w:autoSpaceDE/>
        <w:autoSpaceDN/>
        <w:bidi w:val="0"/>
        <w:adjustRightInd/>
        <w:snapToGrid/>
        <w:spacing w:line="440" w:lineRule="exact"/>
        <w:textAlignment w:val="auto"/>
        <w:rPr>
          <w:rFonts w:hint="eastAsia" w:eastAsiaTheme="minorEastAsia"/>
          <w:sz w:val="24"/>
          <w:szCs w:val="28"/>
          <w:lang w:val="en-US" w:eastAsia="zh-CN"/>
        </w:rPr>
      </w:pPr>
      <w:r>
        <w:rPr>
          <w:rFonts w:hint="eastAsia"/>
          <w:sz w:val="24"/>
          <w:szCs w:val="28"/>
        </w:rPr>
        <w:t>附件</w:t>
      </w:r>
      <w:r>
        <w:rPr>
          <w:rFonts w:hint="eastAsia"/>
          <w:sz w:val="24"/>
          <w:szCs w:val="28"/>
          <w:lang w:val="en-US" w:eastAsia="zh-CN"/>
        </w:rPr>
        <w:t>8</w:t>
      </w:r>
    </w:p>
    <w:p w14:paraId="1CE838B8">
      <w:pPr>
        <w:pStyle w:val="13"/>
        <w:adjustRightInd w:val="0"/>
        <w:snapToGrid w:val="0"/>
        <w:spacing w:before="0" w:beforeAutospacing="0" w:after="0" w:afterAutospacing="0" w:line="500" w:lineRule="exact"/>
        <w:ind w:left="990" w:leftChars="1" w:hanging="988" w:hangingChars="412"/>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评分标准</w:t>
      </w:r>
    </w:p>
    <w:p w14:paraId="13D4B780">
      <w:pPr>
        <w:pStyle w:val="13"/>
        <w:adjustRightInd w:val="0"/>
        <w:snapToGrid w:val="0"/>
        <w:spacing w:before="0" w:beforeAutospacing="0" w:after="0" w:afterAutospacing="0" w:line="500" w:lineRule="exact"/>
        <w:ind w:left="990" w:leftChars="1" w:hanging="988" w:hangingChars="412"/>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一、商务评分（分值10分）</w:t>
      </w:r>
    </w:p>
    <w:tbl>
      <w:tblPr>
        <w:tblStyle w:val="1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1071"/>
        <w:gridCol w:w="6234"/>
      </w:tblGrid>
      <w:tr w14:paraId="32F7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21" w:type="dxa"/>
            <w:tcBorders>
              <w:top w:val="single" w:color="auto" w:sz="4" w:space="0"/>
              <w:left w:val="single" w:color="auto" w:sz="4" w:space="0"/>
              <w:bottom w:val="single" w:color="auto" w:sz="4" w:space="0"/>
              <w:right w:val="single" w:color="auto" w:sz="4" w:space="0"/>
            </w:tcBorders>
            <w:vAlign w:val="center"/>
          </w:tcPr>
          <w:p w14:paraId="62905601">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评分项目</w:t>
            </w:r>
          </w:p>
        </w:tc>
        <w:tc>
          <w:tcPr>
            <w:tcW w:w="1071" w:type="dxa"/>
            <w:tcBorders>
              <w:top w:val="single" w:color="auto" w:sz="4" w:space="0"/>
              <w:left w:val="single" w:color="auto" w:sz="4" w:space="0"/>
              <w:bottom w:val="single" w:color="auto" w:sz="4" w:space="0"/>
              <w:right w:val="single" w:color="auto" w:sz="4" w:space="0"/>
            </w:tcBorders>
            <w:vAlign w:val="center"/>
          </w:tcPr>
          <w:p w14:paraId="56406085">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标准分</w:t>
            </w:r>
          </w:p>
        </w:tc>
        <w:tc>
          <w:tcPr>
            <w:tcW w:w="6234" w:type="dxa"/>
            <w:tcBorders>
              <w:top w:val="single" w:color="auto" w:sz="4" w:space="0"/>
              <w:left w:val="single" w:color="auto" w:sz="4" w:space="0"/>
              <w:bottom w:val="single" w:color="auto" w:sz="4" w:space="0"/>
              <w:right w:val="single" w:color="auto" w:sz="4" w:space="0"/>
            </w:tcBorders>
            <w:vAlign w:val="center"/>
          </w:tcPr>
          <w:p w14:paraId="7EC3A754">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备注</w:t>
            </w:r>
          </w:p>
        </w:tc>
      </w:tr>
      <w:tr w14:paraId="6007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1" w:type="dxa"/>
            <w:tcBorders>
              <w:top w:val="single" w:color="auto" w:sz="4" w:space="0"/>
              <w:left w:val="single" w:color="auto" w:sz="4" w:space="0"/>
              <w:bottom w:val="single" w:color="auto" w:sz="4" w:space="0"/>
              <w:right w:val="single" w:color="auto" w:sz="4" w:space="0"/>
            </w:tcBorders>
            <w:vAlign w:val="center"/>
          </w:tcPr>
          <w:p w14:paraId="516A8F8F">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报价得分</w:t>
            </w:r>
          </w:p>
        </w:tc>
        <w:tc>
          <w:tcPr>
            <w:tcW w:w="1071" w:type="dxa"/>
            <w:tcBorders>
              <w:top w:val="single" w:color="auto" w:sz="4" w:space="0"/>
              <w:left w:val="single" w:color="auto" w:sz="4" w:space="0"/>
              <w:bottom w:val="single" w:color="auto" w:sz="4" w:space="0"/>
              <w:right w:val="single" w:color="auto" w:sz="4" w:space="0"/>
            </w:tcBorders>
            <w:vAlign w:val="center"/>
          </w:tcPr>
          <w:p w14:paraId="00123207">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10分</w:t>
            </w:r>
          </w:p>
        </w:tc>
        <w:tc>
          <w:tcPr>
            <w:tcW w:w="6234" w:type="dxa"/>
            <w:tcBorders>
              <w:top w:val="single" w:color="auto" w:sz="4" w:space="0"/>
              <w:left w:val="single" w:color="auto" w:sz="4" w:space="0"/>
              <w:bottom w:val="single" w:color="auto" w:sz="4" w:space="0"/>
              <w:right w:val="single" w:color="auto" w:sz="4" w:space="0"/>
            </w:tcBorders>
            <w:vAlign w:val="center"/>
          </w:tcPr>
          <w:p w14:paraId="5515D82F">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采用低价优先法计算，即满足磋商文件要求且最终价格最低的报价为磋商基准价，其价格分为满分10分，以此为基础，其他供应商的价格分统一按照下列公式计算：</w:t>
            </w:r>
          </w:p>
          <w:p w14:paraId="42137245">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磋商报价得分=（磋商基准价/最后磋商报价）×10分</w:t>
            </w:r>
          </w:p>
          <w:p w14:paraId="7F139775">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注：1、对小型和微型企业的价格给予10%的扣除，扣除后的价格作为评审价格。</w:t>
            </w:r>
          </w:p>
          <w:p w14:paraId="2DA64DE7">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2、得分保留二位小数计算。</w:t>
            </w:r>
          </w:p>
        </w:tc>
      </w:tr>
    </w:tbl>
    <w:p w14:paraId="181618CF">
      <w:pPr>
        <w:pStyle w:val="13"/>
        <w:adjustRightInd w:val="0"/>
        <w:snapToGrid w:val="0"/>
        <w:spacing w:before="0" w:beforeAutospacing="0" w:after="0" w:afterAutospacing="0" w:line="500" w:lineRule="exact"/>
        <w:ind w:left="990" w:leftChars="1" w:hanging="988" w:hangingChars="412"/>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二、技</w:t>
      </w:r>
      <w:bookmarkStart w:id="2" w:name="_GoBack"/>
      <w:bookmarkEnd w:id="2"/>
      <w:r>
        <w:rPr>
          <w:rFonts w:hint="eastAsia" w:ascii="仿宋" w:hAnsi="仿宋" w:eastAsia="仿宋" w:cs="仿宋"/>
          <w:b w:val="0"/>
          <w:bCs w:val="0"/>
          <w:color w:val="auto"/>
          <w:sz w:val="24"/>
          <w:szCs w:val="24"/>
        </w:rPr>
        <w:t>术评分（分值90分）</w:t>
      </w:r>
    </w:p>
    <w:tbl>
      <w:tblPr>
        <w:tblStyle w:val="1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1071"/>
        <w:gridCol w:w="6234"/>
      </w:tblGrid>
      <w:tr w14:paraId="7288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21" w:type="dxa"/>
            <w:tcBorders>
              <w:top w:val="single" w:color="auto" w:sz="4" w:space="0"/>
              <w:left w:val="single" w:color="auto" w:sz="4" w:space="0"/>
              <w:bottom w:val="single" w:color="auto" w:sz="4" w:space="0"/>
              <w:right w:val="single" w:color="auto" w:sz="4" w:space="0"/>
            </w:tcBorders>
            <w:vAlign w:val="center"/>
          </w:tcPr>
          <w:p w14:paraId="22C26B22">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评分项目</w:t>
            </w:r>
          </w:p>
        </w:tc>
        <w:tc>
          <w:tcPr>
            <w:tcW w:w="1071" w:type="dxa"/>
            <w:tcBorders>
              <w:top w:val="single" w:color="auto" w:sz="4" w:space="0"/>
              <w:left w:val="single" w:color="auto" w:sz="4" w:space="0"/>
              <w:bottom w:val="single" w:color="auto" w:sz="4" w:space="0"/>
              <w:right w:val="single" w:color="auto" w:sz="4" w:space="0"/>
            </w:tcBorders>
            <w:vAlign w:val="center"/>
          </w:tcPr>
          <w:p w14:paraId="1794B818">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标准分</w:t>
            </w:r>
          </w:p>
        </w:tc>
        <w:tc>
          <w:tcPr>
            <w:tcW w:w="6234" w:type="dxa"/>
            <w:tcBorders>
              <w:top w:val="single" w:color="auto" w:sz="4" w:space="0"/>
              <w:left w:val="single" w:color="auto" w:sz="4" w:space="0"/>
              <w:bottom w:val="single" w:color="auto" w:sz="4" w:space="0"/>
              <w:right w:val="single" w:color="auto" w:sz="4" w:space="0"/>
            </w:tcBorders>
            <w:vAlign w:val="center"/>
          </w:tcPr>
          <w:p w14:paraId="3F6721CC">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备注</w:t>
            </w:r>
          </w:p>
        </w:tc>
      </w:tr>
      <w:tr w14:paraId="7BEA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1" w:type="dxa"/>
            <w:tcBorders>
              <w:top w:val="single" w:color="auto" w:sz="4" w:space="0"/>
              <w:left w:val="single" w:color="auto" w:sz="4" w:space="0"/>
              <w:bottom w:val="single" w:color="auto" w:sz="4" w:space="0"/>
              <w:right w:val="single" w:color="auto" w:sz="4" w:space="0"/>
            </w:tcBorders>
            <w:vAlign w:val="center"/>
          </w:tcPr>
          <w:p w14:paraId="7609A5A1">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近三年类似项目业绩（客观分）</w:t>
            </w:r>
          </w:p>
        </w:tc>
        <w:tc>
          <w:tcPr>
            <w:tcW w:w="1071" w:type="dxa"/>
            <w:tcBorders>
              <w:top w:val="single" w:color="auto" w:sz="4" w:space="0"/>
              <w:left w:val="single" w:color="auto" w:sz="4" w:space="0"/>
              <w:bottom w:val="single" w:color="auto" w:sz="4" w:space="0"/>
              <w:right w:val="single" w:color="auto" w:sz="4" w:space="0"/>
            </w:tcBorders>
            <w:vAlign w:val="center"/>
          </w:tcPr>
          <w:p w14:paraId="6B23FA29">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10分</w:t>
            </w:r>
          </w:p>
        </w:tc>
        <w:tc>
          <w:tcPr>
            <w:tcW w:w="6234" w:type="dxa"/>
            <w:tcBorders>
              <w:top w:val="single" w:color="auto" w:sz="4" w:space="0"/>
              <w:left w:val="single" w:color="auto" w:sz="4" w:space="0"/>
              <w:bottom w:val="single" w:color="auto" w:sz="4" w:space="0"/>
              <w:right w:val="single" w:color="auto" w:sz="4" w:space="0"/>
            </w:tcBorders>
            <w:vAlign w:val="center"/>
          </w:tcPr>
          <w:p w14:paraId="5E40EDA8">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响应单位近三年（自2023年08月01日至今）类似项目业绩情况（合同复印件需要提供首页、采购内容页、双方盖章页）：提供一个有效业绩得2分，满分10分，未提供或提供无效业绩不得分。</w:t>
            </w:r>
          </w:p>
        </w:tc>
      </w:tr>
      <w:tr w14:paraId="291C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1" w:type="dxa"/>
            <w:vMerge w:val="restart"/>
            <w:tcBorders>
              <w:top w:val="single" w:color="auto" w:sz="4" w:space="0"/>
              <w:left w:val="single" w:color="auto" w:sz="4" w:space="0"/>
              <w:right w:val="single" w:color="auto" w:sz="4" w:space="0"/>
            </w:tcBorders>
            <w:vAlign w:val="center"/>
          </w:tcPr>
          <w:p w14:paraId="5F45C626">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需求理解分析及合理化建议</w:t>
            </w:r>
          </w:p>
        </w:tc>
        <w:tc>
          <w:tcPr>
            <w:tcW w:w="1071" w:type="dxa"/>
            <w:tcBorders>
              <w:top w:val="single" w:color="auto" w:sz="4" w:space="0"/>
              <w:left w:val="single" w:color="auto" w:sz="4" w:space="0"/>
              <w:bottom w:val="single" w:color="auto" w:sz="4" w:space="0"/>
              <w:right w:val="single" w:color="auto" w:sz="4" w:space="0"/>
            </w:tcBorders>
            <w:vAlign w:val="center"/>
          </w:tcPr>
          <w:p w14:paraId="12CF876F">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5分</w:t>
            </w:r>
          </w:p>
        </w:tc>
        <w:tc>
          <w:tcPr>
            <w:tcW w:w="6234" w:type="dxa"/>
            <w:tcBorders>
              <w:top w:val="single" w:color="auto" w:sz="4" w:space="0"/>
              <w:left w:val="single" w:color="auto" w:sz="4" w:space="0"/>
              <w:bottom w:val="single" w:color="auto" w:sz="4" w:space="0"/>
              <w:right w:val="single" w:color="auto" w:sz="4" w:space="0"/>
            </w:tcBorders>
            <w:vAlign w:val="center"/>
          </w:tcPr>
          <w:p w14:paraId="50570F3E">
            <w:pPr>
              <w:numPr>
                <w:ilvl w:val="0"/>
                <w:numId w:val="3"/>
              </w:num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对本项目需求的理解分析（5分）：能够准确把握国家中职跨境电商专业教学标准，深入理解5本配套教材题库建设需求（5000道标准化题目+150道实训操作题），对知识点体系构建、题目难度分级、题型设计及参考答案编制有清晰认识，针对性强的得3-5分；</w:t>
            </w:r>
          </w:p>
          <w:p w14:paraId="0540FC4F">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2、理解分析不够透彻、针对性不足的得0-2分。</w:t>
            </w:r>
          </w:p>
        </w:tc>
      </w:tr>
      <w:tr w14:paraId="194B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1" w:type="dxa"/>
            <w:vMerge w:val="continue"/>
            <w:tcBorders>
              <w:left w:val="single" w:color="auto" w:sz="4" w:space="0"/>
              <w:bottom w:val="single" w:color="auto" w:sz="4" w:space="0"/>
              <w:right w:val="single" w:color="auto" w:sz="4" w:space="0"/>
            </w:tcBorders>
            <w:vAlign w:val="center"/>
          </w:tcPr>
          <w:p w14:paraId="3862CD4D">
            <w:pPr>
              <w:snapToGrid w:val="0"/>
              <w:jc w:val="center"/>
              <w:rPr>
                <w:rFonts w:hint="eastAsia" w:ascii="仿宋" w:hAnsi="仿宋" w:eastAsia="仿宋" w:cs="仿宋"/>
                <w:b w:val="0"/>
                <w:bCs w:val="0"/>
                <w:sz w:val="24"/>
                <w:szCs w:val="24"/>
              </w:rPr>
            </w:pPr>
          </w:p>
        </w:tc>
        <w:tc>
          <w:tcPr>
            <w:tcW w:w="1071" w:type="dxa"/>
            <w:tcBorders>
              <w:top w:val="single" w:color="auto" w:sz="4" w:space="0"/>
              <w:left w:val="single" w:color="auto" w:sz="4" w:space="0"/>
              <w:bottom w:val="single" w:color="auto" w:sz="4" w:space="0"/>
              <w:right w:val="single" w:color="auto" w:sz="4" w:space="0"/>
            </w:tcBorders>
            <w:vAlign w:val="center"/>
          </w:tcPr>
          <w:p w14:paraId="416AD58B">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5分</w:t>
            </w:r>
          </w:p>
        </w:tc>
        <w:tc>
          <w:tcPr>
            <w:tcW w:w="6234" w:type="dxa"/>
            <w:tcBorders>
              <w:top w:val="single" w:color="auto" w:sz="4" w:space="0"/>
              <w:left w:val="single" w:color="auto" w:sz="4" w:space="0"/>
              <w:bottom w:val="single" w:color="auto" w:sz="4" w:space="0"/>
              <w:right w:val="single" w:color="auto" w:sz="4" w:space="0"/>
            </w:tcBorders>
            <w:vAlign w:val="center"/>
          </w:tcPr>
          <w:p w14:paraId="26866786">
            <w:pPr>
              <w:numPr>
                <w:ilvl w:val="0"/>
                <w:numId w:val="4"/>
              </w:num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能针对题库内容质量控制、题目类型优化、知识点标注规范、平台上传对接、教师培训实施等环节提出详细具体且具有实际可操作性的合理化建议的得3-5分；</w:t>
            </w:r>
          </w:p>
          <w:p w14:paraId="1E435CCB">
            <w:pPr>
              <w:numPr>
                <w:ilvl w:val="0"/>
                <w:numId w:val="4"/>
              </w:num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建议内容零星或可操作性不强的得0-2分</w:t>
            </w:r>
          </w:p>
        </w:tc>
      </w:tr>
      <w:tr w14:paraId="1222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1" w:type="dxa"/>
            <w:tcBorders>
              <w:top w:val="single" w:color="auto" w:sz="4" w:space="0"/>
              <w:left w:val="single" w:color="auto" w:sz="4" w:space="0"/>
              <w:bottom w:val="single" w:color="auto" w:sz="4" w:space="0"/>
              <w:right w:val="single" w:color="auto" w:sz="4" w:space="0"/>
            </w:tcBorders>
            <w:vAlign w:val="center"/>
          </w:tcPr>
          <w:p w14:paraId="0678A9B9">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服务方案</w:t>
            </w:r>
          </w:p>
        </w:tc>
        <w:tc>
          <w:tcPr>
            <w:tcW w:w="1071" w:type="dxa"/>
            <w:tcBorders>
              <w:top w:val="single" w:color="auto" w:sz="4" w:space="0"/>
              <w:left w:val="single" w:color="auto" w:sz="4" w:space="0"/>
              <w:bottom w:val="single" w:color="auto" w:sz="4" w:space="0"/>
              <w:right w:val="single" w:color="auto" w:sz="4" w:space="0"/>
            </w:tcBorders>
            <w:vAlign w:val="center"/>
          </w:tcPr>
          <w:p w14:paraId="5E13C7A4">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30分</w:t>
            </w:r>
          </w:p>
        </w:tc>
        <w:tc>
          <w:tcPr>
            <w:tcW w:w="6234" w:type="dxa"/>
            <w:tcBorders>
              <w:top w:val="single" w:color="auto" w:sz="4" w:space="0"/>
              <w:left w:val="single" w:color="auto" w:sz="4" w:space="0"/>
              <w:bottom w:val="single" w:color="auto" w:sz="4" w:space="0"/>
              <w:right w:val="single" w:color="auto" w:sz="4" w:space="0"/>
            </w:tcBorders>
            <w:vAlign w:val="center"/>
          </w:tcPr>
          <w:p w14:paraId="650F2C45">
            <w:pPr>
              <w:numPr>
                <w:ilvl w:val="0"/>
                <w:numId w:val="4"/>
              </w:num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在满足磋商文件"服务需求"的前提下，针对跨境电商题库项目特点，从以下方面进行综合评审：</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（1）题库命制方案：题目编写规范、知识点标注体系、难度等级划分标准、题型配比设计、参考答案编制流程；</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（2）质量审核方案：多级审核机制、错误率控制措施、题目科学性与规范性保障；</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（3）平台上传与对接方案：协助学校将题库导入融合平台的技术方案与实施步骤；</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（4）培训实施方案：线下教师集中培训与线上答疑的具体安排、培训内容与考核方式。</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1、服务方案与本项目需求吻合度高，内容完整，可行性、可靠性及可操作性强的得20-30分；</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2、服务方案与本项目需求有一定吻合度，内容较简单，可行性、可靠性及可操作性一般但能基本完成任务的得10-19分；</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3、服务方案内容有缺漏，但有所体现的得0-9分。</w:t>
            </w:r>
          </w:p>
        </w:tc>
      </w:tr>
      <w:tr w14:paraId="193C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1" w:type="dxa"/>
            <w:tcBorders>
              <w:top w:val="single" w:color="auto" w:sz="4" w:space="0"/>
              <w:left w:val="single" w:color="auto" w:sz="4" w:space="0"/>
              <w:bottom w:val="single" w:color="auto" w:sz="4" w:space="0"/>
              <w:right w:val="single" w:color="auto" w:sz="4" w:space="0"/>
            </w:tcBorders>
            <w:vAlign w:val="center"/>
          </w:tcPr>
          <w:p w14:paraId="49BED14A">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工作目标及工作计划</w:t>
            </w:r>
          </w:p>
        </w:tc>
        <w:tc>
          <w:tcPr>
            <w:tcW w:w="1071" w:type="dxa"/>
            <w:tcBorders>
              <w:top w:val="single" w:color="auto" w:sz="4" w:space="0"/>
              <w:left w:val="single" w:color="auto" w:sz="4" w:space="0"/>
              <w:bottom w:val="single" w:color="auto" w:sz="4" w:space="0"/>
              <w:right w:val="single" w:color="auto" w:sz="4" w:space="0"/>
            </w:tcBorders>
            <w:vAlign w:val="center"/>
          </w:tcPr>
          <w:p w14:paraId="386FE85D">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10分</w:t>
            </w:r>
          </w:p>
        </w:tc>
        <w:tc>
          <w:tcPr>
            <w:tcW w:w="6234" w:type="dxa"/>
            <w:tcBorders>
              <w:top w:val="single" w:color="auto" w:sz="4" w:space="0"/>
              <w:left w:val="single" w:color="auto" w:sz="4" w:space="0"/>
              <w:bottom w:val="single" w:color="auto" w:sz="4" w:space="0"/>
              <w:right w:val="single" w:color="auto" w:sz="4" w:space="0"/>
            </w:tcBorders>
            <w:vAlign w:val="center"/>
          </w:tcPr>
          <w:p w14:paraId="38320184">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针对本项目制定的工作目标及工作计划是否完善、协调工作如何实施等情况。</w:t>
            </w:r>
          </w:p>
          <w:p w14:paraId="7170F499">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1、工作目标及工作计划针对性强、协调工作方案详细，完全满足项目需要的得8-10分；</w:t>
            </w:r>
          </w:p>
          <w:p w14:paraId="15649502">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2、工作目标及工作计划不详细、协调工作方案简单，基本满足项目需要的得4-7分；</w:t>
            </w:r>
          </w:p>
          <w:p w14:paraId="4EB53848">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3、工作目标及工作计划有缺漏、协调工作方案无针对性的得0-3分。</w:t>
            </w:r>
          </w:p>
        </w:tc>
      </w:tr>
      <w:tr w14:paraId="5C1A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621" w:type="dxa"/>
            <w:tcBorders>
              <w:top w:val="single" w:color="auto" w:sz="4" w:space="0"/>
              <w:left w:val="single" w:color="auto" w:sz="4" w:space="0"/>
              <w:bottom w:val="single" w:color="auto" w:sz="4" w:space="0"/>
              <w:right w:val="single" w:color="auto" w:sz="4" w:space="0"/>
            </w:tcBorders>
            <w:vAlign w:val="center"/>
          </w:tcPr>
          <w:p w14:paraId="34F46D92">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人员配置</w:t>
            </w:r>
          </w:p>
        </w:tc>
        <w:tc>
          <w:tcPr>
            <w:tcW w:w="1071" w:type="dxa"/>
            <w:tcBorders>
              <w:top w:val="single" w:color="auto" w:sz="4" w:space="0"/>
              <w:left w:val="single" w:color="auto" w:sz="4" w:space="0"/>
              <w:bottom w:val="single" w:color="auto" w:sz="4" w:space="0"/>
              <w:right w:val="single" w:color="auto" w:sz="4" w:space="0"/>
            </w:tcBorders>
            <w:vAlign w:val="center"/>
          </w:tcPr>
          <w:p w14:paraId="201C3AEE">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10分</w:t>
            </w:r>
          </w:p>
        </w:tc>
        <w:tc>
          <w:tcPr>
            <w:tcW w:w="6234" w:type="dxa"/>
            <w:tcBorders>
              <w:top w:val="single" w:color="auto" w:sz="4" w:space="0"/>
              <w:left w:val="single" w:color="auto" w:sz="4" w:space="0"/>
              <w:bottom w:val="single" w:color="auto" w:sz="4" w:space="0"/>
              <w:right w:val="single" w:color="auto" w:sz="4" w:space="0"/>
            </w:tcBorders>
            <w:vAlign w:val="center"/>
          </w:tcPr>
          <w:p w14:paraId="760D7B79">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团队服务人员：1、团队服务人员配置（数量、岗位设置）；2、工作经验；3、专业职称等情况。</w:t>
            </w:r>
          </w:p>
          <w:p w14:paraId="7E46C7F1">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（1）团队服务人员配置完全满足项目需要，各专业工种人员配置合理，人员素质、管理和技术能力、经验等能有效保证项目实施的得8-10分；</w:t>
            </w:r>
          </w:p>
          <w:p w14:paraId="7C715378">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（2）团队服务人员配置基本满足项目需要，各专业工种人员配置符合行业规范，但人员素质、技术能力、经验有部分欠缺的得4-7分；</w:t>
            </w:r>
          </w:p>
          <w:p w14:paraId="229C2A97">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（3）团队服务人员配置未能满足本项目需要，各专业工种人员配置基本符合行业规范，但人员素质和技术能力、经验等内容欠缺较多的得0-3分。</w:t>
            </w:r>
          </w:p>
        </w:tc>
      </w:tr>
      <w:tr w14:paraId="5DE7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621" w:type="dxa"/>
            <w:tcBorders>
              <w:left w:val="single" w:color="auto" w:sz="4" w:space="0"/>
              <w:bottom w:val="single" w:color="auto" w:sz="4" w:space="0"/>
              <w:right w:val="single" w:color="auto" w:sz="4" w:space="0"/>
            </w:tcBorders>
            <w:vAlign w:val="center"/>
          </w:tcPr>
          <w:p w14:paraId="08C5B47D">
            <w:pPr>
              <w:snapToGrid w:val="0"/>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验收方案</w:t>
            </w:r>
          </w:p>
        </w:tc>
        <w:tc>
          <w:tcPr>
            <w:tcW w:w="1071" w:type="dxa"/>
            <w:tcBorders>
              <w:top w:val="single" w:color="auto" w:sz="4" w:space="0"/>
              <w:left w:val="single" w:color="auto" w:sz="4" w:space="0"/>
              <w:bottom w:val="single" w:color="auto" w:sz="4" w:space="0"/>
              <w:right w:val="single" w:color="auto" w:sz="4" w:space="0"/>
            </w:tcBorders>
            <w:vAlign w:val="center"/>
          </w:tcPr>
          <w:p w14:paraId="23A9C95F">
            <w:pPr>
              <w:widowControl/>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5分</w:t>
            </w:r>
          </w:p>
        </w:tc>
        <w:tc>
          <w:tcPr>
            <w:tcW w:w="6234" w:type="dxa"/>
            <w:tcBorders>
              <w:top w:val="single" w:color="auto" w:sz="4" w:space="0"/>
              <w:left w:val="single" w:color="auto" w:sz="4" w:space="0"/>
              <w:bottom w:val="single" w:color="auto" w:sz="4" w:space="0"/>
              <w:right w:val="single" w:color="auto" w:sz="4" w:space="0"/>
            </w:tcBorders>
            <w:vAlign w:val="center"/>
          </w:tcPr>
          <w:p w14:paraId="439F1090">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根据各响应单位所提供的验收方案（验收方式、验收流程、验收责任）是否符合足以保护采购人权益等内容进行综合评审：</w:t>
            </w:r>
          </w:p>
          <w:p w14:paraId="484B2FFD">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1、验收方案具有针对性和可操作性，验收方式完善，验收流程全面，验收责任详尽的得3-5分；</w:t>
            </w:r>
          </w:p>
          <w:p w14:paraId="077CE849">
            <w:pPr>
              <w:snapToGrid w:val="0"/>
              <w:rPr>
                <w:rFonts w:hint="eastAsia" w:ascii="仿宋" w:hAnsi="仿宋" w:eastAsia="仿宋" w:cs="仿宋"/>
                <w:b w:val="0"/>
                <w:bCs w:val="0"/>
                <w:sz w:val="24"/>
                <w:szCs w:val="24"/>
              </w:rPr>
            </w:pPr>
            <w:r>
              <w:rPr>
                <w:rFonts w:hint="eastAsia" w:ascii="仿宋" w:hAnsi="仿宋" w:eastAsia="仿宋" w:cs="仿宋"/>
                <w:b w:val="0"/>
                <w:bCs w:val="0"/>
                <w:sz w:val="24"/>
                <w:szCs w:val="24"/>
              </w:rPr>
              <w:t>2、验收方案简单，验收方式、验收流程内容有所体现，验收责任体系不齐全的得0-2分。</w:t>
            </w:r>
          </w:p>
        </w:tc>
      </w:tr>
      <w:tr w14:paraId="2669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621" w:type="dxa"/>
            <w:tcBorders>
              <w:top w:val="single" w:color="auto" w:sz="4" w:space="0"/>
              <w:left w:val="single" w:color="auto" w:sz="4" w:space="0"/>
              <w:bottom w:val="single" w:color="auto" w:sz="4" w:space="0"/>
              <w:right w:val="single" w:color="auto" w:sz="4" w:space="0"/>
            </w:tcBorders>
            <w:vAlign w:val="center"/>
          </w:tcPr>
          <w:p w14:paraId="2701B40A">
            <w:pPr>
              <w:snapToGrid w:val="0"/>
              <w:jc w:val="center"/>
              <w:rPr>
                <w:rFonts w:hint="eastAsia" w:ascii="仿宋" w:hAnsi="仿宋" w:eastAsia="仿宋" w:cs="仿宋"/>
                <w:bCs/>
                <w:sz w:val="24"/>
                <w:szCs w:val="24"/>
              </w:rPr>
            </w:pPr>
            <w:r>
              <w:rPr>
                <w:rFonts w:hint="eastAsia" w:ascii="仿宋" w:hAnsi="仿宋" w:eastAsia="仿宋" w:cs="仿宋"/>
                <w:bCs/>
                <w:sz w:val="24"/>
                <w:szCs w:val="24"/>
              </w:rPr>
              <w:t>售后服务</w:t>
            </w:r>
          </w:p>
        </w:tc>
        <w:tc>
          <w:tcPr>
            <w:tcW w:w="1071" w:type="dxa"/>
            <w:tcBorders>
              <w:top w:val="single" w:color="auto" w:sz="4" w:space="0"/>
              <w:left w:val="single" w:color="auto" w:sz="4" w:space="0"/>
              <w:bottom w:val="single" w:color="auto" w:sz="4" w:space="0"/>
              <w:right w:val="single" w:color="auto" w:sz="4" w:space="0"/>
            </w:tcBorders>
            <w:vAlign w:val="center"/>
          </w:tcPr>
          <w:p w14:paraId="0764BCCD">
            <w:pPr>
              <w:widowControl/>
              <w:jc w:val="center"/>
              <w:rPr>
                <w:rFonts w:hint="eastAsia" w:ascii="仿宋" w:hAnsi="仿宋" w:eastAsia="仿宋" w:cs="仿宋"/>
                <w:bCs/>
                <w:sz w:val="24"/>
                <w:szCs w:val="24"/>
              </w:rPr>
            </w:pPr>
            <w:r>
              <w:rPr>
                <w:rFonts w:hint="eastAsia" w:ascii="仿宋" w:hAnsi="仿宋" w:eastAsia="仿宋" w:cs="仿宋"/>
                <w:bCs/>
                <w:sz w:val="24"/>
                <w:szCs w:val="24"/>
              </w:rPr>
              <w:t>15分</w:t>
            </w:r>
          </w:p>
        </w:tc>
        <w:tc>
          <w:tcPr>
            <w:tcW w:w="6234" w:type="dxa"/>
            <w:tcBorders>
              <w:top w:val="single" w:color="auto" w:sz="4" w:space="0"/>
              <w:left w:val="single" w:color="auto" w:sz="4" w:space="0"/>
              <w:bottom w:val="single" w:color="auto" w:sz="4" w:space="0"/>
              <w:right w:val="single" w:color="auto" w:sz="4" w:space="0"/>
            </w:tcBorders>
            <w:vAlign w:val="center"/>
          </w:tcPr>
          <w:p w14:paraId="513D095D">
            <w:pPr>
              <w:snapToGrid w:val="0"/>
              <w:rPr>
                <w:rFonts w:hint="eastAsia" w:ascii="仿宋" w:hAnsi="仿宋" w:eastAsia="仿宋" w:cs="仿宋"/>
                <w:bCs/>
                <w:sz w:val="24"/>
                <w:szCs w:val="24"/>
              </w:rPr>
            </w:pPr>
            <w:r>
              <w:rPr>
                <w:rFonts w:hint="eastAsia" w:ascii="仿宋" w:hAnsi="仿宋" w:eastAsia="仿宋" w:cs="仿宋"/>
                <w:bCs/>
                <w:sz w:val="24"/>
                <w:szCs w:val="24"/>
              </w:rPr>
              <w:t>根据各响应单位所提供的售后方案是否合理等内容进行综合评审：</w:t>
            </w:r>
          </w:p>
          <w:p w14:paraId="5D9CECDC">
            <w:pPr>
              <w:snapToGrid w:val="0"/>
              <w:rPr>
                <w:rFonts w:hint="eastAsia" w:ascii="仿宋" w:hAnsi="仿宋" w:eastAsia="仿宋" w:cs="仿宋"/>
                <w:bCs/>
                <w:sz w:val="24"/>
                <w:szCs w:val="24"/>
              </w:rPr>
            </w:pPr>
            <w:r>
              <w:rPr>
                <w:rFonts w:hint="eastAsia" w:ascii="仿宋" w:hAnsi="仿宋" w:eastAsia="仿宋" w:cs="仿宋"/>
                <w:bCs/>
                <w:sz w:val="24"/>
                <w:szCs w:val="24"/>
              </w:rPr>
              <w:t>1、售后方案合理、可行，针对性强，内容详实、思路清晰，得12-15分；</w:t>
            </w:r>
          </w:p>
          <w:p w14:paraId="6837A523">
            <w:pPr>
              <w:snapToGrid w:val="0"/>
              <w:rPr>
                <w:rFonts w:hint="eastAsia" w:ascii="仿宋" w:hAnsi="仿宋" w:eastAsia="仿宋" w:cs="仿宋"/>
                <w:bCs/>
                <w:sz w:val="24"/>
                <w:szCs w:val="24"/>
              </w:rPr>
            </w:pPr>
            <w:r>
              <w:rPr>
                <w:rFonts w:hint="eastAsia" w:ascii="仿宋" w:hAnsi="仿宋" w:eastAsia="仿宋" w:cs="仿宋"/>
                <w:bCs/>
                <w:sz w:val="24"/>
                <w:szCs w:val="24"/>
              </w:rPr>
              <w:t>2、售后方案合理、可行，具有针对性，但内容不够详实或思路不清晰，得6-11分；</w:t>
            </w:r>
          </w:p>
          <w:p w14:paraId="39C71B2A">
            <w:pPr>
              <w:snapToGrid w:val="0"/>
              <w:rPr>
                <w:rFonts w:hint="eastAsia" w:ascii="仿宋" w:hAnsi="仿宋" w:eastAsia="仿宋" w:cs="仿宋"/>
                <w:bCs/>
                <w:sz w:val="24"/>
                <w:szCs w:val="24"/>
              </w:rPr>
            </w:pPr>
            <w:r>
              <w:rPr>
                <w:rFonts w:hint="eastAsia" w:ascii="仿宋" w:hAnsi="仿宋" w:eastAsia="仿宋" w:cs="仿宋"/>
                <w:bCs/>
                <w:sz w:val="24"/>
                <w:szCs w:val="24"/>
              </w:rPr>
              <w:t>3、售后方案有一定的可行性，但不具有针对性，且内容不够详实或思路不清晰，得0-5分。</w:t>
            </w:r>
          </w:p>
        </w:tc>
      </w:tr>
    </w:tbl>
    <w:p w14:paraId="46BE17AC">
      <w:pPr>
        <w:pStyle w:val="13"/>
        <w:adjustRightInd w:val="0"/>
        <w:snapToGrid w:val="0"/>
        <w:spacing w:before="0" w:beforeAutospacing="0" w:after="0" w:afterAutospacing="0" w:line="500" w:lineRule="exact"/>
        <w:rPr>
          <w:rFonts w:hint="eastAsia" w:ascii="仿宋" w:hAnsi="仿宋" w:eastAsia="仿宋" w:cs="仿宋"/>
          <w:color w:val="auto"/>
          <w:sz w:val="24"/>
          <w:szCs w:val="24"/>
        </w:rPr>
      </w:pPr>
      <w:r>
        <w:rPr>
          <w:rFonts w:hint="eastAsia" w:ascii="仿宋" w:hAnsi="仿宋" w:eastAsia="仿宋" w:cs="仿宋"/>
          <w:color w:val="auto"/>
          <w:sz w:val="24"/>
          <w:szCs w:val="24"/>
        </w:rPr>
        <w:t>注：总分为100分，经磋商小组综合评定得分高低选定排名第一的为第一成交候选单位。</w:t>
      </w:r>
    </w:p>
    <w:p w14:paraId="4733F86B">
      <w:pPr>
        <w:spacing w:line="360" w:lineRule="auto"/>
        <w:rPr>
          <w:rFonts w:hint="eastAsia" w:ascii="仿宋" w:hAnsi="仿宋" w:eastAsia="仿宋" w:cs="仿宋"/>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91B01"/>
    <w:multiLevelType w:val="singleLevel"/>
    <w:tmpl w:val="0B191B01"/>
    <w:lvl w:ilvl="0" w:tentative="0">
      <w:start w:val="1"/>
      <w:numFmt w:val="decimal"/>
      <w:suff w:val="nothing"/>
      <w:lvlText w:val="%1、"/>
      <w:lvlJc w:val="left"/>
    </w:lvl>
  </w:abstractNum>
  <w:abstractNum w:abstractNumId="1">
    <w:nsid w:val="1DD3CEC4"/>
    <w:multiLevelType w:val="singleLevel"/>
    <w:tmpl w:val="1DD3CEC4"/>
    <w:lvl w:ilvl="0" w:tentative="0">
      <w:start w:val="1"/>
      <w:numFmt w:val="decimal"/>
      <w:suff w:val="nothing"/>
      <w:lvlText w:val="%1、"/>
      <w:lvlJc w:val="left"/>
    </w:lvl>
  </w:abstractNum>
  <w:abstractNum w:abstractNumId="2">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3">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426"/>
    <w:rsid w:val="000531A8"/>
    <w:rsid w:val="000F01F7"/>
    <w:rsid w:val="001129F2"/>
    <w:rsid w:val="001677CB"/>
    <w:rsid w:val="00192128"/>
    <w:rsid w:val="00352DA6"/>
    <w:rsid w:val="00386DEB"/>
    <w:rsid w:val="003A489D"/>
    <w:rsid w:val="003B3CB0"/>
    <w:rsid w:val="0042309A"/>
    <w:rsid w:val="004921F4"/>
    <w:rsid w:val="004A1E7F"/>
    <w:rsid w:val="005B2AB0"/>
    <w:rsid w:val="006056F4"/>
    <w:rsid w:val="006565D3"/>
    <w:rsid w:val="00695CC4"/>
    <w:rsid w:val="006A42BF"/>
    <w:rsid w:val="006F53D0"/>
    <w:rsid w:val="00703426"/>
    <w:rsid w:val="00833A80"/>
    <w:rsid w:val="00990BDD"/>
    <w:rsid w:val="00AD7F70"/>
    <w:rsid w:val="00B31167"/>
    <w:rsid w:val="00B97602"/>
    <w:rsid w:val="00C37FF8"/>
    <w:rsid w:val="00C50E93"/>
    <w:rsid w:val="00C741E9"/>
    <w:rsid w:val="16DD1B4D"/>
    <w:rsid w:val="35A029FC"/>
    <w:rsid w:val="613E136B"/>
    <w:rsid w:val="701E4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7">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8">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9">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10">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ind w:firstLine="420" w:firstLineChars="100"/>
    </w:pPr>
  </w:style>
  <w:style w:type="paragraph" w:styleId="13">
    <w:name w:val="Plain Text"/>
    <w:basedOn w:val="1"/>
    <w:qFormat/>
    <w:uiPriority w:val="0"/>
    <w:pPr>
      <w:widowControl/>
      <w:spacing w:before="100" w:beforeAutospacing="1" w:after="100" w:afterAutospacing="1"/>
      <w:jc w:val="left"/>
    </w:pPr>
    <w:rPr>
      <w:rFonts w:ascii="宋体" w:hAnsi="宋体"/>
      <w:color w:val="000000"/>
      <w:kern w:val="0"/>
      <w:sz w:val="24"/>
    </w:rPr>
  </w:style>
  <w:style w:type="paragraph" w:styleId="14">
    <w:name w:val="footer"/>
    <w:basedOn w:val="1"/>
    <w:link w:val="39"/>
    <w:unhideWhenUsed/>
    <w:qFormat/>
    <w:uiPriority w:val="99"/>
    <w:pPr>
      <w:tabs>
        <w:tab w:val="center" w:pos="4153"/>
        <w:tab w:val="right" w:pos="8306"/>
      </w:tabs>
      <w:snapToGrid w:val="0"/>
      <w:jc w:val="left"/>
    </w:pPr>
    <w:rPr>
      <w:sz w:val="18"/>
      <w:szCs w:val="18"/>
    </w:rPr>
  </w:style>
  <w:style w:type="paragraph" w:styleId="15">
    <w:name w:val="header"/>
    <w:basedOn w:val="1"/>
    <w:link w:val="38"/>
    <w:unhideWhenUsed/>
    <w:qFormat/>
    <w:uiPriority w:val="99"/>
    <w:pPr>
      <w:tabs>
        <w:tab w:val="center" w:pos="4153"/>
        <w:tab w:val="right" w:pos="8306"/>
      </w:tabs>
      <w:snapToGrid w:val="0"/>
      <w:jc w:val="center"/>
    </w:pPr>
    <w:rPr>
      <w:sz w:val="18"/>
      <w:szCs w:val="18"/>
    </w:rPr>
  </w:style>
  <w:style w:type="paragraph" w:styleId="16">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20">
    <w:name w:val="标题 1 Char"/>
    <w:basedOn w:val="19"/>
    <w:link w:val="4"/>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Char"/>
    <w:basedOn w:val="19"/>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Char"/>
    <w:basedOn w:val="19"/>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Char"/>
    <w:basedOn w:val="19"/>
    <w:link w:val="7"/>
    <w:semiHidden/>
    <w:qFormat/>
    <w:uiPriority w:val="9"/>
    <w:rPr>
      <w:rFonts w:cstheme="majorBidi"/>
      <w:color w:val="104862" w:themeColor="accent1" w:themeShade="BF"/>
      <w:sz w:val="28"/>
      <w:szCs w:val="28"/>
    </w:rPr>
  </w:style>
  <w:style w:type="character" w:customStyle="1" w:styleId="24">
    <w:name w:val="标题 5 Char"/>
    <w:basedOn w:val="19"/>
    <w:link w:val="8"/>
    <w:semiHidden/>
    <w:qFormat/>
    <w:uiPriority w:val="9"/>
    <w:rPr>
      <w:rFonts w:cstheme="majorBidi"/>
      <w:color w:val="104862" w:themeColor="accent1" w:themeShade="BF"/>
      <w:sz w:val="24"/>
      <w:szCs w:val="24"/>
    </w:rPr>
  </w:style>
  <w:style w:type="character" w:customStyle="1" w:styleId="25">
    <w:name w:val="标题 6 Char"/>
    <w:basedOn w:val="19"/>
    <w:link w:val="9"/>
    <w:semiHidden/>
    <w:qFormat/>
    <w:uiPriority w:val="9"/>
    <w:rPr>
      <w:rFonts w:cstheme="majorBidi"/>
      <w:b/>
      <w:bCs/>
      <w:color w:val="104862" w:themeColor="accent1" w:themeShade="BF"/>
    </w:rPr>
  </w:style>
  <w:style w:type="character" w:customStyle="1" w:styleId="26">
    <w:name w:val="标题 7 Char"/>
    <w:basedOn w:val="19"/>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Char"/>
    <w:basedOn w:val="19"/>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Char"/>
    <w:basedOn w:val="19"/>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Char"/>
    <w:basedOn w:val="19"/>
    <w:link w:val="17"/>
    <w:qFormat/>
    <w:uiPriority w:val="10"/>
    <w:rPr>
      <w:rFonts w:asciiTheme="majorHAnsi" w:hAnsiTheme="majorHAnsi" w:eastAsiaTheme="majorEastAsia" w:cstheme="majorBidi"/>
      <w:spacing w:val="-10"/>
      <w:kern w:val="28"/>
      <w:sz w:val="56"/>
      <w:szCs w:val="56"/>
    </w:rPr>
  </w:style>
  <w:style w:type="character" w:customStyle="1" w:styleId="30">
    <w:name w:val="副标题 Char"/>
    <w:basedOn w:val="19"/>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Char"/>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9"/>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Char"/>
    <w:basedOn w:val="19"/>
    <w:link w:val="35"/>
    <w:qFormat/>
    <w:uiPriority w:val="30"/>
    <w:rPr>
      <w:i/>
      <w:iCs/>
      <w:color w:val="104862" w:themeColor="accent1" w:themeShade="BF"/>
    </w:rPr>
  </w:style>
  <w:style w:type="character" w:customStyle="1" w:styleId="37">
    <w:name w:val="明显参考1"/>
    <w:basedOn w:val="19"/>
    <w:qFormat/>
    <w:uiPriority w:val="32"/>
    <w:rPr>
      <w:b/>
      <w:bCs/>
      <w:smallCaps/>
      <w:color w:val="104862" w:themeColor="accent1" w:themeShade="BF"/>
      <w:spacing w:val="5"/>
    </w:rPr>
  </w:style>
  <w:style w:type="character" w:customStyle="1" w:styleId="38">
    <w:name w:val="页眉 Char"/>
    <w:basedOn w:val="19"/>
    <w:link w:val="15"/>
    <w:qFormat/>
    <w:uiPriority w:val="99"/>
    <w:rPr>
      <w:sz w:val="18"/>
      <w:szCs w:val="18"/>
    </w:rPr>
  </w:style>
  <w:style w:type="character" w:customStyle="1" w:styleId="39">
    <w:name w:val="页脚 Char"/>
    <w:basedOn w:val="19"/>
    <w:link w:val="1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2349</Words>
  <Characters>2435</Characters>
  <Lines>20</Lines>
  <Paragraphs>5</Paragraphs>
  <TotalTime>1</TotalTime>
  <ScaleCrop>false</ScaleCrop>
  <LinksUpToDate>false</LinksUpToDate>
  <CharactersWithSpaces>2650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2026-08-17T02:52:00Z</dcterms:created>
  <dc:creator>佳靓 钱</dc:creator>
  <cp:lastModifiedBy>KK</cp:lastModifiedBy>
  <dcterms:modified xsi:type="dcterms:W3CDTF">2026-08-18T04:18:31Z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eyJoZGlkIjoiZWJmNjg0ZTc2MWU1MTNkMTkxZDZlZTJmMjAzNGJhOTIiLCJ1c2VySWQiOiI0MzM5ODA5NTEifQ==</vt:lpwstr>
  </property>
  <property fmtid="{D5CDD505-2E9C-101B-9397-08002B2CF9AE}" pid="3" name="KSOProductBuildVer">
    <vt:lpwstr>2052-12.1.0.28043</vt:lpwstr>
  </property>
  <property fmtid="{D5CDD505-2E9C-101B-9397-08002B2CF9AE}" pid="4" name="ICV">
    <vt:lpwstr>A8CF6E12368B4678A07A2F1B7D094713_13</vt:lpwstr>
  </property>
</Properties>
</file>