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5C14F">
      <w:pPr>
        <w:jc w:val="center"/>
        <w:rPr>
          <w:rFonts w:hint="default" w:ascii="黑体" w:hAnsi="黑体" w:eastAsia="黑体" w:cs="黑体"/>
          <w:b/>
          <w:bCs/>
          <w:sz w:val="36"/>
          <w:szCs w:val="36"/>
          <w:lang w:val="en-US" w:eastAsia="zh-CN"/>
        </w:rPr>
      </w:pPr>
      <w:r>
        <w:rPr>
          <w:rFonts w:hint="eastAsia" w:ascii="黑体" w:hAnsi="黑体" w:eastAsia="黑体" w:cs="黑体"/>
          <w:b/>
          <w:bCs/>
          <w:sz w:val="36"/>
          <w:szCs w:val="36"/>
          <w:lang w:val="en-US" w:eastAsia="zh-CN"/>
        </w:rPr>
        <w:t>数据中心功能拓展(信息发布)项目</w:t>
      </w:r>
    </w:p>
    <w:p w14:paraId="34B8C49B">
      <w:pPr>
        <w:spacing w:line="360" w:lineRule="auto"/>
        <w:rPr>
          <w:rFonts w:hint="eastAsia" w:ascii="仿宋" w:hAnsi="仿宋" w:eastAsia="仿宋"/>
          <w:b/>
          <w:bCs/>
          <w:color w:val="000000" w:themeColor="text1"/>
          <w:sz w:val="24"/>
          <w:szCs w:val="28"/>
          <w14:textFill>
            <w14:solidFill>
              <w14:schemeClr w14:val="tx1"/>
            </w14:solidFill>
          </w14:textFill>
        </w:rPr>
      </w:pPr>
      <w:r>
        <w:rPr>
          <w:rFonts w:hint="eastAsia" w:ascii="仿宋" w:hAnsi="仿宋" w:eastAsia="仿宋"/>
          <w:b/>
          <w:bCs/>
          <w:color w:val="000000" w:themeColor="text1"/>
          <w:sz w:val="24"/>
          <w:szCs w:val="28"/>
          <w14:textFill>
            <w14:solidFill>
              <w14:schemeClr w14:val="tx1"/>
            </w14:solidFill>
          </w14:textFill>
        </w:rPr>
        <w:t>一、项目名称</w:t>
      </w:r>
    </w:p>
    <w:p w14:paraId="008A53DB">
      <w:pPr>
        <w:jc w:val="left"/>
        <w:rPr>
          <w:rFonts w:hint="eastAsia" w:eastAsia="仿宋"/>
          <w:sz w:val="24"/>
          <w:szCs w:val="24"/>
          <w:lang w:val="en-US" w:eastAsia="zh-CN"/>
        </w:rPr>
      </w:pPr>
      <w:r>
        <w:rPr>
          <w:rFonts w:hint="eastAsia" w:ascii="仿宋" w:hAnsi="仿宋" w:eastAsia="仿宋"/>
          <w:sz w:val="24"/>
          <w:szCs w:val="28"/>
          <w:lang w:val="en-US" w:eastAsia="zh-CN"/>
        </w:rPr>
        <w:t>数据中心功能拓展(信息发布)项目</w:t>
      </w:r>
    </w:p>
    <w:p w14:paraId="5D1C5DC4">
      <w:pPr>
        <w:spacing w:line="360" w:lineRule="auto"/>
        <w:rPr>
          <w:rFonts w:hint="eastAsia" w:ascii="仿宋" w:hAnsi="仿宋" w:eastAsia="仿宋"/>
          <w:b/>
          <w:bCs/>
          <w:sz w:val="24"/>
          <w:szCs w:val="28"/>
        </w:rPr>
      </w:pPr>
      <w:r>
        <w:rPr>
          <w:rFonts w:hint="eastAsia" w:ascii="仿宋" w:hAnsi="仿宋" w:eastAsia="仿宋"/>
          <w:b/>
          <w:bCs/>
          <w:sz w:val="24"/>
          <w:szCs w:val="28"/>
        </w:rPr>
        <w:t>二、项目预算</w:t>
      </w:r>
    </w:p>
    <w:p w14:paraId="2446191F">
      <w:pPr>
        <w:spacing w:line="360" w:lineRule="auto"/>
        <w:rPr>
          <w:rFonts w:hint="eastAsia" w:ascii="仿宋" w:hAnsi="仿宋" w:eastAsia="仿宋"/>
          <w:sz w:val="24"/>
          <w:szCs w:val="28"/>
        </w:rPr>
      </w:pPr>
      <w:r>
        <w:rPr>
          <w:rFonts w:hint="eastAsia" w:ascii="仿宋" w:hAnsi="仿宋" w:eastAsia="仿宋"/>
          <w:sz w:val="24"/>
          <w:szCs w:val="28"/>
          <w:lang w:val="en-US" w:eastAsia="zh-CN"/>
        </w:rPr>
        <w:t>60000元</w:t>
      </w:r>
      <w:r>
        <w:rPr>
          <w:rFonts w:hint="eastAsia" w:ascii="仿宋" w:hAnsi="仿宋" w:eastAsia="仿宋"/>
          <w:sz w:val="24"/>
          <w:szCs w:val="28"/>
        </w:rPr>
        <w:t>人民币（大写：</w:t>
      </w:r>
      <w:r>
        <w:rPr>
          <w:rFonts w:hint="eastAsia" w:ascii="仿宋" w:hAnsi="仿宋" w:eastAsia="仿宋"/>
          <w:sz w:val="24"/>
          <w:szCs w:val="28"/>
          <w:lang w:val="en-US" w:eastAsia="zh-CN"/>
        </w:rPr>
        <w:t>陆万</w:t>
      </w:r>
      <w:r>
        <w:rPr>
          <w:rFonts w:hint="eastAsia" w:ascii="仿宋" w:hAnsi="仿宋" w:eastAsia="仿宋"/>
          <w:sz w:val="24"/>
          <w:szCs w:val="28"/>
        </w:rPr>
        <w:t>圆整）</w:t>
      </w:r>
    </w:p>
    <w:p w14:paraId="303E89D6">
      <w:pPr>
        <w:spacing w:line="360" w:lineRule="auto"/>
        <w:rPr>
          <w:rFonts w:hint="eastAsia" w:ascii="仿宋" w:hAnsi="仿宋" w:eastAsia="仿宋"/>
          <w:b/>
          <w:bCs/>
          <w:sz w:val="24"/>
          <w:szCs w:val="28"/>
        </w:rPr>
      </w:pPr>
      <w:r>
        <w:rPr>
          <w:rFonts w:hint="eastAsia" w:ascii="仿宋" w:hAnsi="仿宋" w:eastAsia="仿宋"/>
          <w:b/>
          <w:bCs/>
          <w:sz w:val="24"/>
          <w:szCs w:val="28"/>
        </w:rPr>
        <w:t>三、供应商资格要求:</w:t>
      </w:r>
    </w:p>
    <w:p w14:paraId="094F718C">
      <w:pPr>
        <w:spacing w:line="360" w:lineRule="auto"/>
        <w:rPr>
          <w:rFonts w:hint="eastAsia" w:ascii="仿宋" w:hAnsi="仿宋" w:eastAsia="仿宋"/>
          <w:sz w:val="24"/>
          <w:szCs w:val="28"/>
        </w:rPr>
      </w:pPr>
      <w:r>
        <w:rPr>
          <w:rFonts w:hint="eastAsia" w:ascii="仿宋" w:hAnsi="仿宋" w:eastAsia="仿宋"/>
          <w:sz w:val="24"/>
          <w:szCs w:val="28"/>
        </w:rPr>
        <w:t>1、具有独立法人资格及相应经营范围；</w:t>
      </w:r>
    </w:p>
    <w:p w14:paraId="47C3B9E9">
      <w:pPr>
        <w:spacing w:line="360" w:lineRule="auto"/>
        <w:rPr>
          <w:rFonts w:hint="eastAsia" w:ascii="仿宋" w:hAnsi="仿宋" w:eastAsia="仿宋"/>
          <w:sz w:val="24"/>
          <w:szCs w:val="28"/>
        </w:rPr>
      </w:pPr>
      <w:r>
        <w:rPr>
          <w:rFonts w:hint="eastAsia" w:ascii="仿宋" w:hAnsi="仿宋" w:eastAsia="仿宋"/>
          <w:sz w:val="24"/>
          <w:szCs w:val="28"/>
        </w:rPr>
        <w:t>2、具有国家或有关政府部门颁发的资质证明文件；</w:t>
      </w:r>
    </w:p>
    <w:p w14:paraId="3AC0065F">
      <w:pPr>
        <w:spacing w:line="360" w:lineRule="auto"/>
        <w:rPr>
          <w:rFonts w:hint="eastAsia" w:ascii="仿宋" w:hAnsi="仿宋" w:eastAsia="仿宋"/>
          <w:sz w:val="24"/>
          <w:szCs w:val="28"/>
        </w:rPr>
      </w:pPr>
      <w:r>
        <w:rPr>
          <w:rFonts w:hint="eastAsia" w:ascii="仿宋" w:hAnsi="仿宋" w:eastAsia="仿宋"/>
          <w:sz w:val="24"/>
          <w:szCs w:val="28"/>
        </w:rPr>
        <w:t>3、具有履行合同所必需的设备和专业技术能力的证明材料；</w:t>
      </w:r>
    </w:p>
    <w:p w14:paraId="73C14579">
      <w:pPr>
        <w:spacing w:line="360" w:lineRule="auto"/>
        <w:rPr>
          <w:rFonts w:hint="eastAsia" w:ascii="仿宋" w:hAnsi="仿宋" w:eastAsia="仿宋"/>
          <w:sz w:val="24"/>
          <w:szCs w:val="28"/>
        </w:rPr>
      </w:pPr>
      <w:r>
        <w:rPr>
          <w:rFonts w:hint="eastAsia" w:ascii="仿宋" w:hAnsi="仿宋" w:eastAsia="仿宋"/>
          <w:sz w:val="24"/>
          <w:szCs w:val="28"/>
        </w:rPr>
        <w:t>4、具有良好的信誉和相应产品的销售业绩;</w:t>
      </w:r>
    </w:p>
    <w:p w14:paraId="5893206D">
      <w:pPr>
        <w:spacing w:line="360" w:lineRule="auto"/>
        <w:rPr>
          <w:rFonts w:hint="eastAsia" w:ascii="仿宋" w:hAnsi="仿宋" w:eastAsia="仿宋"/>
          <w:sz w:val="24"/>
          <w:szCs w:val="28"/>
        </w:rPr>
      </w:pPr>
      <w:r>
        <w:rPr>
          <w:rFonts w:hint="eastAsia" w:ascii="仿宋" w:hAnsi="仿宋" w:eastAsia="仿宋"/>
          <w:sz w:val="24"/>
          <w:szCs w:val="28"/>
        </w:rPr>
        <w:t>5、近三年内，在经营活动中没有重大违法记录；</w:t>
      </w:r>
    </w:p>
    <w:p w14:paraId="1F4FDDFA">
      <w:pPr>
        <w:spacing w:line="360" w:lineRule="auto"/>
        <w:rPr>
          <w:rFonts w:hint="eastAsia" w:ascii="仿宋" w:hAnsi="仿宋" w:eastAsia="仿宋"/>
          <w:sz w:val="24"/>
          <w:szCs w:val="28"/>
        </w:rPr>
      </w:pPr>
      <w:r>
        <w:rPr>
          <w:rFonts w:hint="eastAsia" w:ascii="仿宋" w:hAnsi="仿宋" w:eastAsia="仿宋"/>
          <w:sz w:val="24"/>
          <w:szCs w:val="28"/>
        </w:rPr>
        <w:t>6、单位负责人为同一人或者存在直接控股、管理关系的不同供应商，不得同时参加本采购项目投标；</w:t>
      </w:r>
    </w:p>
    <w:p w14:paraId="56037445">
      <w:pPr>
        <w:spacing w:line="360" w:lineRule="auto"/>
        <w:rPr>
          <w:rFonts w:hint="eastAsia" w:ascii="仿宋" w:hAnsi="仿宋" w:eastAsia="仿宋"/>
          <w:sz w:val="24"/>
          <w:szCs w:val="28"/>
        </w:rPr>
      </w:pPr>
      <w:r>
        <w:rPr>
          <w:rFonts w:hint="eastAsia" w:ascii="仿宋" w:hAnsi="仿宋" w:eastAsia="仿宋"/>
          <w:sz w:val="24"/>
          <w:szCs w:val="28"/>
        </w:rPr>
        <w:t>7、未被国家财政部指定的信用记录查询渠道列入失信被执行主体、重大税收违法案件当事主体、政府采购严重违法失信行为当事主体等严重失信记录名单。以在“信用中国”网站(www</w:t>
      </w:r>
      <w:r>
        <w:rPr>
          <w:rFonts w:hint="eastAsia" w:ascii="仿宋" w:hAnsi="仿宋" w:eastAsia="仿宋"/>
          <w:sz w:val="24"/>
          <w:szCs w:val="28"/>
          <w:lang w:val="en-US" w:eastAsia="zh-CN"/>
        </w:rPr>
        <w:t>.</w:t>
      </w:r>
      <w:r>
        <w:rPr>
          <w:rFonts w:hint="eastAsia" w:ascii="仿宋" w:hAnsi="仿宋" w:eastAsia="仿宋"/>
          <w:sz w:val="24"/>
          <w:szCs w:val="28"/>
        </w:rPr>
        <w:t>creditchina.gov.cn)和中国政府采购网(www.ccgp.gov.cn)查询的提交报价文件截止之日当天前三年内的信用记录为准。</w:t>
      </w:r>
    </w:p>
    <w:p w14:paraId="252E6C60">
      <w:pPr>
        <w:spacing w:line="360" w:lineRule="auto"/>
        <w:rPr>
          <w:rFonts w:hint="eastAsia" w:ascii="仿宋" w:hAnsi="仿宋" w:eastAsia="仿宋"/>
          <w:sz w:val="24"/>
          <w:szCs w:val="28"/>
        </w:rPr>
      </w:pPr>
      <w:r>
        <w:rPr>
          <w:rFonts w:hint="eastAsia" w:ascii="仿宋" w:hAnsi="仿宋" w:eastAsia="仿宋"/>
          <w:sz w:val="24"/>
          <w:szCs w:val="28"/>
        </w:rPr>
        <w:t>本项目不接受联合体投标。</w:t>
      </w:r>
    </w:p>
    <w:p w14:paraId="4A6E9A5D">
      <w:pPr>
        <w:numPr>
          <w:ilvl w:val="0"/>
          <w:numId w:val="0"/>
        </w:numPr>
        <w:spacing w:line="360" w:lineRule="auto"/>
      </w:pPr>
      <w:r>
        <w:rPr>
          <w:rFonts w:hint="eastAsia" w:ascii="仿宋" w:hAnsi="仿宋" w:eastAsia="仿宋" w:cstheme="minorBidi"/>
          <w:b/>
          <w:bCs/>
          <w:kern w:val="2"/>
          <w:sz w:val="24"/>
          <w:szCs w:val="28"/>
          <w:lang w:val="en-US" w:eastAsia="zh-CN" w:bidi="ar-SA"/>
        </w:rPr>
        <w:t>四、</w:t>
      </w:r>
      <w:r>
        <w:rPr>
          <w:rFonts w:hint="eastAsia" w:ascii="仿宋" w:hAnsi="仿宋" w:eastAsia="仿宋"/>
          <w:b/>
          <w:bCs/>
          <w:sz w:val="24"/>
          <w:szCs w:val="28"/>
          <w:lang w:val="en-US" w:eastAsia="zh-CN"/>
        </w:rPr>
        <w:t>采购需求</w:t>
      </w:r>
    </w:p>
    <w:tbl>
      <w:tblPr>
        <w:tblStyle w:val="20"/>
        <w:tblW w:w="8666" w:type="dxa"/>
        <w:jc w:val="center"/>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Layout w:type="autofit"/>
        <w:tblCellMar>
          <w:top w:w="15" w:type="dxa"/>
          <w:left w:w="15" w:type="dxa"/>
          <w:bottom w:w="15" w:type="dxa"/>
          <w:right w:w="15" w:type="dxa"/>
        </w:tblCellMar>
      </w:tblPr>
      <w:tblGrid>
        <w:gridCol w:w="1961"/>
        <w:gridCol w:w="1680"/>
        <w:gridCol w:w="5025"/>
      </w:tblGrid>
      <w:tr w14:paraId="4154F61E">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tblHeader/>
          <w:jc w:val="center"/>
        </w:trPr>
        <w:tc>
          <w:tcPr>
            <w:tcW w:w="1961" w:type="dxa"/>
            <w:tcBorders>
              <w:tl2br w:val="nil"/>
              <w:tr2bl w:val="nil"/>
            </w:tcBorders>
            <w:shd w:val="clear" w:color="auto" w:fill="auto"/>
            <w:tcMar>
              <w:top w:w="150" w:type="dxa"/>
              <w:left w:w="0" w:type="dxa"/>
              <w:bottom w:w="150" w:type="dxa"/>
              <w:right w:w="300" w:type="dxa"/>
            </w:tcMar>
            <w:vAlign w:val="center"/>
          </w:tcPr>
          <w:p w14:paraId="0CFF705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Fonts w:hint="eastAsia" w:ascii="仿宋" w:hAnsi="仿宋" w:eastAsia="仿宋" w:cs="仿宋"/>
                <w:b/>
                <w:bCs/>
                <w:sz w:val="21"/>
                <w:szCs w:val="21"/>
              </w:rPr>
              <w:t>模块</w:t>
            </w:r>
          </w:p>
        </w:tc>
        <w:tc>
          <w:tcPr>
            <w:tcW w:w="1680" w:type="dxa"/>
            <w:tcBorders>
              <w:tl2br w:val="nil"/>
              <w:tr2bl w:val="nil"/>
            </w:tcBorders>
            <w:shd w:val="clear" w:color="auto" w:fill="auto"/>
            <w:tcMar>
              <w:top w:w="150" w:type="dxa"/>
              <w:left w:w="0" w:type="dxa"/>
              <w:bottom w:w="150" w:type="dxa"/>
              <w:right w:w="300" w:type="dxa"/>
            </w:tcMar>
            <w:vAlign w:val="center"/>
          </w:tcPr>
          <w:p w14:paraId="2BA374AF">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Fonts w:hint="eastAsia" w:ascii="仿宋" w:hAnsi="仿宋" w:eastAsia="仿宋" w:cs="仿宋"/>
                <w:b/>
                <w:bCs/>
                <w:sz w:val="21"/>
                <w:szCs w:val="21"/>
              </w:rPr>
              <w:t>功能项</w:t>
            </w:r>
          </w:p>
        </w:tc>
        <w:tc>
          <w:tcPr>
            <w:tcW w:w="5025" w:type="dxa"/>
            <w:tcBorders>
              <w:tl2br w:val="nil"/>
              <w:tr2bl w:val="nil"/>
            </w:tcBorders>
            <w:shd w:val="clear" w:color="auto" w:fill="auto"/>
            <w:tcMar>
              <w:top w:w="150" w:type="dxa"/>
              <w:left w:w="0" w:type="dxa"/>
              <w:bottom w:w="150" w:type="dxa"/>
              <w:right w:w="300" w:type="dxa"/>
            </w:tcMar>
            <w:vAlign w:val="center"/>
          </w:tcPr>
          <w:p w14:paraId="4DB2DA2E">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Fonts w:hint="eastAsia" w:ascii="仿宋" w:hAnsi="仿宋" w:eastAsia="仿宋" w:cs="仿宋"/>
                <w:b/>
                <w:bCs/>
                <w:sz w:val="21"/>
                <w:szCs w:val="21"/>
              </w:rPr>
              <w:t>详细要求</w:t>
            </w:r>
          </w:p>
        </w:tc>
      </w:tr>
      <w:tr w14:paraId="54B1BF22">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restart"/>
            <w:tcBorders>
              <w:tl2br w:val="nil"/>
              <w:tr2bl w:val="nil"/>
            </w:tcBorders>
            <w:shd w:val="clear" w:color="auto" w:fill="auto"/>
            <w:tcMar>
              <w:top w:w="150" w:type="dxa"/>
              <w:left w:w="0" w:type="dxa"/>
              <w:bottom w:w="150" w:type="dxa"/>
              <w:right w:w="300" w:type="dxa"/>
            </w:tcMar>
            <w:vAlign w:val="center"/>
          </w:tcPr>
          <w:p w14:paraId="694BABF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Style w:val="23"/>
                <w:rFonts w:hint="eastAsia" w:ascii="仿宋" w:hAnsi="仿宋" w:eastAsia="仿宋" w:cs="仿宋"/>
                <w:sz w:val="21"/>
                <w:szCs w:val="21"/>
                <w:vertAlign w:val="baseline"/>
              </w:rPr>
              <w:t>1. 统一后台管理</w:t>
            </w:r>
            <w:r>
              <w:rPr>
                <w:rFonts w:hint="eastAsia" w:ascii="仿宋" w:hAnsi="仿宋" w:eastAsia="仿宋" w:cs="仿宋"/>
                <w:sz w:val="21"/>
                <w:szCs w:val="21"/>
                <w:vertAlign w:val="baseline"/>
              </w:rPr>
              <w:t>​</w:t>
            </w:r>
          </w:p>
        </w:tc>
        <w:tc>
          <w:tcPr>
            <w:tcW w:w="1680" w:type="dxa"/>
            <w:tcBorders>
              <w:tl2br w:val="nil"/>
              <w:tr2bl w:val="nil"/>
            </w:tcBorders>
            <w:shd w:val="clear" w:color="auto" w:fill="auto"/>
            <w:tcMar>
              <w:top w:w="150" w:type="dxa"/>
              <w:left w:w="0" w:type="dxa"/>
              <w:bottom w:w="150" w:type="dxa"/>
              <w:right w:w="300" w:type="dxa"/>
            </w:tcMar>
            <w:vAlign w:val="center"/>
          </w:tcPr>
          <w:p w14:paraId="02946CF4">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统一后台建设</w:t>
            </w:r>
          </w:p>
        </w:tc>
        <w:tc>
          <w:tcPr>
            <w:tcW w:w="5025" w:type="dxa"/>
            <w:tcBorders>
              <w:tl2br w:val="nil"/>
              <w:tr2bl w:val="nil"/>
            </w:tcBorders>
            <w:shd w:val="clear" w:color="auto" w:fill="auto"/>
            <w:tcMar>
              <w:top w:w="150" w:type="dxa"/>
              <w:left w:w="0" w:type="dxa"/>
              <w:bottom w:w="150" w:type="dxa"/>
              <w:right w:w="300" w:type="dxa"/>
            </w:tcMar>
            <w:vAlign w:val="center"/>
          </w:tcPr>
          <w:p w14:paraId="41BF3EED">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建设校内、外网资讯统一后台，实现资讯集中编辑、统一管理和内外网一键同步</w:t>
            </w:r>
          </w:p>
        </w:tc>
      </w:tr>
      <w:tr w14:paraId="3714AD9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33C36D1C">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0E714D9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统一内容管理</w:t>
            </w:r>
          </w:p>
        </w:tc>
        <w:tc>
          <w:tcPr>
            <w:tcW w:w="5025" w:type="dxa"/>
            <w:tcBorders>
              <w:tl2br w:val="nil"/>
              <w:tr2bl w:val="nil"/>
            </w:tcBorders>
            <w:shd w:val="clear" w:color="auto" w:fill="auto"/>
            <w:tcMar>
              <w:top w:w="150" w:type="dxa"/>
              <w:left w:w="0" w:type="dxa"/>
              <w:bottom w:w="150" w:type="dxa"/>
              <w:right w:w="300" w:type="dxa"/>
            </w:tcMar>
            <w:vAlign w:val="center"/>
          </w:tcPr>
          <w:p w14:paraId="1F5975CA">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支持校内资讯和外网资讯在同一后台统一管理，避免内容重复录入</w:t>
            </w:r>
          </w:p>
        </w:tc>
      </w:tr>
      <w:tr w14:paraId="6DAB4333">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2DC1399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6EA63B8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一键同步</w:t>
            </w:r>
          </w:p>
        </w:tc>
        <w:tc>
          <w:tcPr>
            <w:tcW w:w="5025" w:type="dxa"/>
            <w:tcBorders>
              <w:tl2br w:val="nil"/>
              <w:tr2bl w:val="nil"/>
            </w:tcBorders>
            <w:shd w:val="clear" w:color="auto" w:fill="auto"/>
            <w:tcMar>
              <w:top w:w="150" w:type="dxa"/>
              <w:left w:w="0" w:type="dxa"/>
              <w:bottom w:w="150" w:type="dxa"/>
              <w:right w:w="300" w:type="dxa"/>
            </w:tcMar>
            <w:vAlign w:val="center"/>
          </w:tcPr>
          <w:p w14:paraId="2FAA47E5">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内网稿件审核通过后，能够一键同步至外网发布审批环节</w:t>
            </w:r>
          </w:p>
        </w:tc>
      </w:tr>
      <w:tr w14:paraId="000F4CA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7ABA653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443F362D">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发布范围选择</w:t>
            </w:r>
          </w:p>
        </w:tc>
        <w:tc>
          <w:tcPr>
            <w:tcW w:w="5025" w:type="dxa"/>
            <w:tcBorders>
              <w:tl2br w:val="nil"/>
              <w:tr2bl w:val="nil"/>
            </w:tcBorders>
            <w:shd w:val="clear" w:color="auto" w:fill="auto"/>
            <w:tcMar>
              <w:top w:w="150" w:type="dxa"/>
              <w:left w:w="0" w:type="dxa"/>
              <w:bottom w:w="150" w:type="dxa"/>
              <w:right w:w="300" w:type="dxa"/>
            </w:tcMar>
            <w:vAlign w:val="center"/>
          </w:tcPr>
          <w:p w14:paraId="08D1BDC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支持发布范围选择，包括仅校内发布、同步外网等模式</w:t>
            </w:r>
          </w:p>
        </w:tc>
      </w:tr>
      <w:tr w14:paraId="3C84A96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7B68D587">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18EA4D6E">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辅助功能</w:t>
            </w:r>
          </w:p>
        </w:tc>
        <w:tc>
          <w:tcPr>
            <w:tcW w:w="5025" w:type="dxa"/>
            <w:tcBorders>
              <w:tl2br w:val="nil"/>
              <w:tr2bl w:val="nil"/>
            </w:tcBorders>
            <w:shd w:val="clear" w:color="auto" w:fill="auto"/>
            <w:tcMar>
              <w:top w:w="150" w:type="dxa"/>
              <w:left w:w="0" w:type="dxa"/>
              <w:bottom w:w="150" w:type="dxa"/>
              <w:right w:w="300" w:type="dxa"/>
            </w:tcMar>
            <w:vAlign w:val="center"/>
          </w:tcPr>
          <w:p w14:paraId="4CDE941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支持内容预览、版本记录和同步状态查询</w:t>
            </w:r>
          </w:p>
        </w:tc>
      </w:tr>
      <w:tr w14:paraId="0F80712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0FB702D5">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211BECE5">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权限与日志</w:t>
            </w:r>
          </w:p>
        </w:tc>
        <w:tc>
          <w:tcPr>
            <w:tcW w:w="5025" w:type="dxa"/>
            <w:tcBorders>
              <w:tl2br w:val="nil"/>
              <w:tr2bl w:val="nil"/>
            </w:tcBorders>
            <w:shd w:val="clear" w:color="auto" w:fill="auto"/>
            <w:tcMar>
              <w:top w:w="150" w:type="dxa"/>
              <w:left w:w="0" w:type="dxa"/>
              <w:bottom w:w="150" w:type="dxa"/>
              <w:right w:w="300" w:type="dxa"/>
            </w:tcMar>
            <w:vAlign w:val="center"/>
          </w:tcPr>
          <w:p w14:paraId="5CFF6769">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支持角色权限、栏目权限和操作日志管理，确保内容发布责任清晰、过程可追溯</w:t>
            </w:r>
          </w:p>
        </w:tc>
      </w:tr>
      <w:tr w14:paraId="786EB3E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restart"/>
            <w:tcBorders>
              <w:tl2br w:val="nil"/>
              <w:tr2bl w:val="nil"/>
            </w:tcBorders>
            <w:shd w:val="clear" w:color="auto" w:fill="auto"/>
            <w:tcMar>
              <w:top w:w="150" w:type="dxa"/>
              <w:left w:w="0" w:type="dxa"/>
              <w:bottom w:w="150" w:type="dxa"/>
              <w:right w:w="300" w:type="dxa"/>
            </w:tcMar>
            <w:vAlign w:val="center"/>
          </w:tcPr>
          <w:p w14:paraId="0EB82BC4">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Style w:val="23"/>
                <w:rFonts w:hint="eastAsia" w:ascii="仿宋" w:hAnsi="仿宋" w:eastAsia="仿宋" w:cs="仿宋"/>
                <w:sz w:val="21"/>
                <w:szCs w:val="21"/>
                <w:vertAlign w:val="baseline"/>
              </w:rPr>
              <w:t>2. 内网发布审核流程</w:t>
            </w:r>
            <w:r>
              <w:rPr>
                <w:rFonts w:hint="eastAsia" w:ascii="仿宋" w:hAnsi="仿宋" w:eastAsia="仿宋" w:cs="仿宋"/>
                <w:sz w:val="21"/>
                <w:szCs w:val="21"/>
                <w:vertAlign w:val="baseline"/>
              </w:rPr>
              <w:t>​</w:t>
            </w:r>
          </w:p>
        </w:tc>
        <w:tc>
          <w:tcPr>
            <w:tcW w:w="1680" w:type="dxa"/>
            <w:tcBorders>
              <w:tl2br w:val="nil"/>
              <w:tr2bl w:val="nil"/>
            </w:tcBorders>
            <w:shd w:val="clear" w:color="auto" w:fill="auto"/>
            <w:tcMar>
              <w:top w:w="150" w:type="dxa"/>
              <w:left w:w="0" w:type="dxa"/>
              <w:bottom w:w="150" w:type="dxa"/>
              <w:right w:w="300" w:type="dxa"/>
            </w:tcMar>
            <w:vAlign w:val="center"/>
          </w:tcPr>
          <w:p w14:paraId="02015E36">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总体流程</w:t>
            </w:r>
          </w:p>
        </w:tc>
        <w:tc>
          <w:tcPr>
            <w:tcW w:w="5025" w:type="dxa"/>
            <w:tcBorders>
              <w:tl2br w:val="nil"/>
              <w:tr2bl w:val="nil"/>
            </w:tcBorders>
            <w:shd w:val="clear" w:color="auto" w:fill="auto"/>
            <w:tcMar>
              <w:top w:w="150" w:type="dxa"/>
              <w:left w:w="0" w:type="dxa"/>
              <w:bottom w:w="150" w:type="dxa"/>
              <w:right w:w="300" w:type="dxa"/>
            </w:tcMar>
            <w:vAlign w:val="center"/>
          </w:tcPr>
          <w:p w14:paraId="44112CD3">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新闻内网编辑人员编辑新闻稿件→部门负责人审核→管理员审核→审核通过后正式在内网发布→自动进入外网发布审批环节</w:t>
            </w:r>
          </w:p>
        </w:tc>
      </w:tr>
      <w:tr w14:paraId="09BF4D43">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50E7D508">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68A122E4">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编辑提交</w:t>
            </w:r>
          </w:p>
        </w:tc>
        <w:tc>
          <w:tcPr>
            <w:tcW w:w="5025" w:type="dxa"/>
            <w:tcBorders>
              <w:tl2br w:val="nil"/>
              <w:tr2bl w:val="nil"/>
            </w:tcBorders>
            <w:shd w:val="clear" w:color="auto" w:fill="auto"/>
            <w:tcMar>
              <w:top w:w="150" w:type="dxa"/>
              <w:left w:w="0" w:type="dxa"/>
              <w:bottom w:w="150" w:type="dxa"/>
              <w:right w:w="300" w:type="dxa"/>
            </w:tcMar>
            <w:vAlign w:val="center"/>
          </w:tcPr>
          <w:p w14:paraId="0A82C72D">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编辑人员完成稿件编辑后提交审核，支持草稿保存、修改、删除和撤回提交</w:t>
            </w:r>
          </w:p>
        </w:tc>
      </w:tr>
      <w:tr w14:paraId="743614B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2D8DA754">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2989605A">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部门负责人审核</w:t>
            </w:r>
          </w:p>
        </w:tc>
        <w:tc>
          <w:tcPr>
            <w:tcW w:w="5025" w:type="dxa"/>
            <w:tcBorders>
              <w:tl2br w:val="nil"/>
              <w:tr2bl w:val="nil"/>
            </w:tcBorders>
            <w:shd w:val="clear" w:color="auto" w:fill="auto"/>
            <w:tcMar>
              <w:top w:w="150" w:type="dxa"/>
              <w:left w:w="0" w:type="dxa"/>
              <w:bottom w:w="150" w:type="dxa"/>
              <w:right w:w="300" w:type="dxa"/>
            </w:tcMar>
            <w:vAlign w:val="center"/>
          </w:tcPr>
          <w:p w14:paraId="39C687EF">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部门负责人对稿件内容、文字规范、图片使用和信息保密等进行审核。审核通过则提交管理员；审核不通过则退回修改，并注明退回原因</w:t>
            </w:r>
          </w:p>
        </w:tc>
      </w:tr>
      <w:tr w14:paraId="16600BC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3F81232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456AAB29">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管理员审核</w:t>
            </w:r>
          </w:p>
        </w:tc>
        <w:tc>
          <w:tcPr>
            <w:tcW w:w="5025" w:type="dxa"/>
            <w:tcBorders>
              <w:tl2br w:val="nil"/>
              <w:tr2bl w:val="nil"/>
            </w:tcBorders>
            <w:shd w:val="clear" w:color="auto" w:fill="auto"/>
            <w:tcMar>
              <w:top w:w="150" w:type="dxa"/>
              <w:left w:w="0" w:type="dxa"/>
              <w:bottom w:w="150" w:type="dxa"/>
              <w:right w:w="300" w:type="dxa"/>
            </w:tcMar>
            <w:vAlign w:val="center"/>
          </w:tcPr>
          <w:p w14:paraId="1007A4A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管理员进行最终审核。审核通过后，稿件正式在内网发布；审核不通过则退回修改并说明原因</w:t>
            </w:r>
          </w:p>
        </w:tc>
      </w:tr>
      <w:tr w14:paraId="297179B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1260188C">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58F3AE06">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流程衔接</w:t>
            </w:r>
          </w:p>
        </w:tc>
        <w:tc>
          <w:tcPr>
            <w:tcW w:w="5025" w:type="dxa"/>
            <w:tcBorders>
              <w:tl2br w:val="nil"/>
              <w:tr2bl w:val="nil"/>
            </w:tcBorders>
            <w:shd w:val="clear" w:color="auto" w:fill="auto"/>
            <w:tcMar>
              <w:top w:w="150" w:type="dxa"/>
              <w:left w:w="0" w:type="dxa"/>
              <w:bottom w:w="150" w:type="dxa"/>
              <w:right w:w="300" w:type="dxa"/>
            </w:tcMar>
            <w:vAlign w:val="center"/>
          </w:tcPr>
          <w:p w14:paraId="3381A15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内网审核通过后，稿件自动进入外网发布审批流程，由具有相应权限的人员决定是否同步外网</w:t>
            </w:r>
          </w:p>
        </w:tc>
      </w:tr>
      <w:tr w14:paraId="3384911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jc w:val="center"/>
        </w:trPr>
        <w:tc>
          <w:tcPr>
            <w:tcW w:w="1961" w:type="dxa"/>
            <w:vMerge w:val="restart"/>
            <w:tcBorders>
              <w:tl2br w:val="nil"/>
              <w:tr2bl w:val="nil"/>
            </w:tcBorders>
            <w:shd w:val="clear" w:color="auto" w:fill="auto"/>
            <w:tcMar>
              <w:top w:w="150" w:type="dxa"/>
              <w:left w:w="0" w:type="dxa"/>
              <w:bottom w:w="150" w:type="dxa"/>
              <w:right w:w="300" w:type="dxa"/>
            </w:tcMar>
            <w:vAlign w:val="center"/>
          </w:tcPr>
          <w:p w14:paraId="5EDED2CE">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Style w:val="23"/>
                <w:rFonts w:hint="eastAsia" w:ascii="仿宋" w:hAnsi="仿宋" w:eastAsia="仿宋" w:cs="仿宋"/>
                <w:sz w:val="21"/>
                <w:szCs w:val="21"/>
                <w:vertAlign w:val="baseline"/>
              </w:rPr>
              <w:t>3. 外网审核模式</w:t>
            </w:r>
            <w:r>
              <w:rPr>
                <w:rFonts w:hint="eastAsia" w:ascii="仿宋" w:hAnsi="仿宋" w:eastAsia="仿宋" w:cs="仿宋"/>
                <w:sz w:val="21"/>
                <w:szCs w:val="21"/>
                <w:vertAlign w:val="baseline"/>
              </w:rPr>
              <w:t>​</w:t>
            </w:r>
          </w:p>
        </w:tc>
        <w:tc>
          <w:tcPr>
            <w:tcW w:w="1680" w:type="dxa"/>
            <w:tcBorders>
              <w:tl2br w:val="nil"/>
              <w:tr2bl w:val="nil"/>
            </w:tcBorders>
            <w:shd w:val="clear" w:color="auto" w:fill="auto"/>
            <w:tcMar>
              <w:top w:w="150" w:type="dxa"/>
              <w:left w:w="0" w:type="dxa"/>
              <w:bottom w:w="150" w:type="dxa"/>
              <w:right w:w="300" w:type="dxa"/>
            </w:tcMar>
            <w:vAlign w:val="center"/>
          </w:tcPr>
          <w:p w14:paraId="18D00D9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一键通过</w:t>
            </w:r>
          </w:p>
        </w:tc>
        <w:tc>
          <w:tcPr>
            <w:tcW w:w="5025" w:type="dxa"/>
            <w:tcBorders>
              <w:tl2br w:val="nil"/>
              <w:tr2bl w:val="nil"/>
            </w:tcBorders>
            <w:shd w:val="clear" w:color="auto" w:fill="auto"/>
            <w:tcMar>
              <w:top w:w="150" w:type="dxa"/>
              <w:left w:w="0" w:type="dxa"/>
              <w:bottom w:w="150" w:type="dxa"/>
              <w:right w:w="300" w:type="dxa"/>
            </w:tcMar>
            <w:vAlign w:val="center"/>
          </w:tcPr>
          <w:p w14:paraId="3A202929">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对于与内网内容一致、无需修改的稿件，审核人员可直接确认发布，系统自动记录审核人和发布时间</w:t>
            </w:r>
          </w:p>
        </w:tc>
      </w:tr>
      <w:tr w14:paraId="2AFF53B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69AD63B9">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2F9A4045">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在线修改</w:t>
            </w:r>
          </w:p>
        </w:tc>
        <w:tc>
          <w:tcPr>
            <w:tcW w:w="5025" w:type="dxa"/>
            <w:tcBorders>
              <w:tl2br w:val="nil"/>
              <w:tr2bl w:val="nil"/>
            </w:tcBorders>
            <w:shd w:val="clear" w:color="auto" w:fill="auto"/>
            <w:tcMar>
              <w:top w:w="150" w:type="dxa"/>
              <w:left w:w="0" w:type="dxa"/>
              <w:bottom w:w="150" w:type="dxa"/>
              <w:right w:w="300" w:type="dxa"/>
            </w:tcMar>
            <w:vAlign w:val="center"/>
          </w:tcPr>
          <w:p w14:paraId="20B569E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审核人员可在系统内对标题、摘要、正文、图片、附件和栏目等内容进行修改，并保存修改记录，确保修改过程可追溯</w:t>
            </w:r>
          </w:p>
        </w:tc>
      </w:tr>
      <w:tr w14:paraId="1FF795C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027CCAD9">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77950D1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退回附意见</w:t>
            </w:r>
          </w:p>
        </w:tc>
        <w:tc>
          <w:tcPr>
            <w:tcW w:w="5025" w:type="dxa"/>
            <w:tcBorders>
              <w:tl2br w:val="nil"/>
              <w:tr2bl w:val="nil"/>
            </w:tcBorders>
            <w:shd w:val="clear" w:color="auto" w:fill="auto"/>
            <w:tcMar>
              <w:top w:w="150" w:type="dxa"/>
              <w:left w:w="0" w:type="dxa"/>
              <w:bottom w:w="150" w:type="dxa"/>
              <w:right w:w="300" w:type="dxa"/>
            </w:tcMar>
            <w:vAlign w:val="center"/>
          </w:tcPr>
          <w:p w14:paraId="640787B2">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对于不符合外网发布要求的稿件，审核人员可以退回，并填写具体修改意见。责任人员修改完成后重新提交审核</w:t>
            </w:r>
          </w:p>
        </w:tc>
      </w:tr>
      <w:tr w14:paraId="784985C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2C3B287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41F63AE5">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配套机制</w:t>
            </w:r>
          </w:p>
        </w:tc>
        <w:tc>
          <w:tcPr>
            <w:tcW w:w="5025" w:type="dxa"/>
            <w:tcBorders>
              <w:tl2br w:val="nil"/>
              <w:tr2bl w:val="nil"/>
            </w:tcBorders>
            <w:shd w:val="clear" w:color="auto" w:fill="auto"/>
            <w:tcMar>
              <w:top w:w="150" w:type="dxa"/>
              <w:left w:w="0" w:type="dxa"/>
              <w:bottom w:w="150" w:type="dxa"/>
              <w:right w:w="300" w:type="dxa"/>
            </w:tcMar>
            <w:vAlign w:val="center"/>
          </w:tcPr>
          <w:p w14:paraId="1CAB35C1">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外网审核应支持栏目权限管理、待办提醒和审核意见记录，防止稿件长期滞留，确保外网发布及时、规范</w:t>
            </w:r>
          </w:p>
        </w:tc>
      </w:tr>
      <w:tr w14:paraId="5803B94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jc w:val="center"/>
        </w:trPr>
        <w:tc>
          <w:tcPr>
            <w:tcW w:w="1961" w:type="dxa"/>
            <w:vMerge w:val="restart"/>
            <w:tcBorders>
              <w:tl2br w:val="nil"/>
              <w:tr2bl w:val="nil"/>
            </w:tcBorders>
            <w:shd w:val="clear" w:color="auto" w:fill="auto"/>
            <w:tcMar>
              <w:top w:w="150" w:type="dxa"/>
              <w:left w:w="0" w:type="dxa"/>
              <w:bottom w:w="150" w:type="dxa"/>
              <w:right w:w="300" w:type="dxa"/>
            </w:tcMar>
            <w:vAlign w:val="center"/>
          </w:tcPr>
          <w:p w14:paraId="2967C016">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Style w:val="23"/>
                <w:rFonts w:hint="eastAsia" w:ascii="仿宋" w:hAnsi="仿宋" w:eastAsia="仿宋" w:cs="仿宋"/>
                <w:sz w:val="21"/>
                <w:szCs w:val="21"/>
                <w:vertAlign w:val="baseline"/>
              </w:rPr>
              <w:t>4. 数据台账及统计</w:t>
            </w:r>
            <w:r>
              <w:rPr>
                <w:rFonts w:hint="eastAsia" w:ascii="仿宋" w:hAnsi="仿宋" w:eastAsia="仿宋" w:cs="仿宋"/>
                <w:sz w:val="21"/>
                <w:szCs w:val="21"/>
                <w:vertAlign w:val="baseline"/>
              </w:rPr>
              <w:t>​</w:t>
            </w:r>
          </w:p>
        </w:tc>
        <w:tc>
          <w:tcPr>
            <w:tcW w:w="1680" w:type="dxa"/>
            <w:tcBorders>
              <w:tl2br w:val="nil"/>
              <w:tr2bl w:val="nil"/>
            </w:tcBorders>
            <w:shd w:val="clear" w:color="auto" w:fill="auto"/>
            <w:tcMar>
              <w:top w:w="150" w:type="dxa"/>
              <w:left w:w="0" w:type="dxa"/>
              <w:bottom w:w="150" w:type="dxa"/>
              <w:right w:w="300" w:type="dxa"/>
            </w:tcMar>
            <w:vAlign w:val="center"/>
          </w:tcPr>
          <w:p w14:paraId="0C7C72C8">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自动记录</w:t>
            </w:r>
          </w:p>
        </w:tc>
        <w:tc>
          <w:tcPr>
            <w:tcW w:w="5025" w:type="dxa"/>
            <w:tcBorders>
              <w:tl2br w:val="nil"/>
              <w:tr2bl w:val="nil"/>
            </w:tcBorders>
            <w:shd w:val="clear" w:color="auto" w:fill="auto"/>
            <w:tcMar>
              <w:top w:w="150" w:type="dxa"/>
              <w:left w:w="0" w:type="dxa"/>
              <w:bottom w:w="150" w:type="dxa"/>
              <w:right w:w="300" w:type="dxa"/>
            </w:tcMar>
            <w:vAlign w:val="center"/>
          </w:tcPr>
          <w:p w14:paraId="2157D383">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系统应自动记录信息发布全过程，形成数据台账，替代线下Excel统计方式</w:t>
            </w:r>
          </w:p>
        </w:tc>
      </w:tr>
      <w:tr w14:paraId="51C9A1F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43C90C0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04592FB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台账字段</w:t>
            </w:r>
          </w:p>
        </w:tc>
        <w:tc>
          <w:tcPr>
            <w:tcW w:w="5025" w:type="dxa"/>
            <w:tcBorders>
              <w:tl2br w:val="nil"/>
              <w:tr2bl w:val="nil"/>
            </w:tcBorders>
            <w:shd w:val="clear" w:color="auto" w:fill="auto"/>
            <w:tcMar>
              <w:top w:w="150" w:type="dxa"/>
              <w:left w:w="0" w:type="dxa"/>
              <w:bottom w:w="150" w:type="dxa"/>
              <w:right w:w="300" w:type="dxa"/>
            </w:tcMar>
            <w:vAlign w:val="center"/>
          </w:tcPr>
          <w:p w14:paraId="23B1FDC2">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台账字段应包括稿件编号、标题、栏目、发布渠道、编辑人员、各级审核人员、提交时间、审核时间、发布时间、发布状态、退回意见及附件信息等</w:t>
            </w:r>
          </w:p>
        </w:tc>
      </w:tr>
      <w:tr w14:paraId="374ECB9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0926817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777BF846">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筛选与导出</w:t>
            </w:r>
          </w:p>
        </w:tc>
        <w:tc>
          <w:tcPr>
            <w:tcW w:w="5025" w:type="dxa"/>
            <w:tcBorders>
              <w:tl2br w:val="nil"/>
              <w:tr2bl w:val="nil"/>
            </w:tcBorders>
            <w:shd w:val="clear" w:color="auto" w:fill="auto"/>
            <w:tcMar>
              <w:top w:w="150" w:type="dxa"/>
              <w:left w:w="0" w:type="dxa"/>
              <w:bottom w:w="150" w:type="dxa"/>
              <w:right w:w="300" w:type="dxa"/>
            </w:tcMar>
            <w:vAlign w:val="center"/>
          </w:tcPr>
          <w:p w14:paraId="4B54C42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系统应支持按发布时间、发布栏目、发布部门、发布人员、审核人员、发布状态和发布渠道等条件进行筛选、查询和导出记录报表</w:t>
            </w:r>
          </w:p>
        </w:tc>
      </w:tr>
      <w:tr w14:paraId="2C521F5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restart"/>
            <w:tcBorders>
              <w:tl2br w:val="nil"/>
              <w:tr2bl w:val="nil"/>
            </w:tcBorders>
            <w:shd w:val="clear" w:color="auto" w:fill="auto"/>
            <w:tcMar>
              <w:top w:w="150" w:type="dxa"/>
              <w:left w:w="0" w:type="dxa"/>
              <w:bottom w:w="150" w:type="dxa"/>
              <w:right w:w="300" w:type="dxa"/>
            </w:tcMar>
            <w:vAlign w:val="center"/>
          </w:tcPr>
          <w:p w14:paraId="2E67DD0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Style w:val="23"/>
                <w:rFonts w:hint="eastAsia" w:ascii="仿宋" w:hAnsi="仿宋" w:eastAsia="仿宋" w:cs="仿宋"/>
                <w:sz w:val="21"/>
                <w:szCs w:val="21"/>
                <w:vertAlign w:val="baseline"/>
              </w:rPr>
              <w:t>5. 权限管理</w:t>
            </w:r>
            <w:r>
              <w:rPr>
                <w:rFonts w:hint="eastAsia" w:ascii="仿宋" w:hAnsi="仿宋" w:eastAsia="仿宋" w:cs="仿宋"/>
                <w:sz w:val="21"/>
                <w:szCs w:val="21"/>
                <w:vertAlign w:val="baseline"/>
              </w:rPr>
              <w:t>​</w:t>
            </w:r>
          </w:p>
        </w:tc>
        <w:tc>
          <w:tcPr>
            <w:tcW w:w="1680" w:type="dxa"/>
            <w:tcBorders>
              <w:tl2br w:val="nil"/>
              <w:tr2bl w:val="nil"/>
            </w:tcBorders>
            <w:shd w:val="clear" w:color="auto" w:fill="auto"/>
            <w:tcMar>
              <w:top w:w="150" w:type="dxa"/>
              <w:left w:w="0" w:type="dxa"/>
              <w:bottom w:w="150" w:type="dxa"/>
              <w:right w:w="300" w:type="dxa"/>
            </w:tcMar>
            <w:vAlign w:val="center"/>
          </w:tcPr>
          <w:p w14:paraId="71F1B84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角色权限设置</w:t>
            </w:r>
          </w:p>
        </w:tc>
        <w:tc>
          <w:tcPr>
            <w:tcW w:w="5025" w:type="dxa"/>
            <w:tcBorders>
              <w:tl2br w:val="nil"/>
              <w:tr2bl w:val="nil"/>
            </w:tcBorders>
            <w:shd w:val="clear" w:color="auto" w:fill="auto"/>
            <w:tcMar>
              <w:top w:w="150" w:type="dxa"/>
              <w:left w:w="0" w:type="dxa"/>
              <w:bottom w:w="150" w:type="dxa"/>
              <w:right w:w="300" w:type="dxa"/>
            </w:tcMar>
            <w:vAlign w:val="center"/>
          </w:tcPr>
          <w:p w14:paraId="2B203D3F">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按照编辑、部门负责人、管理员、外网审核人员和系统管理员等角色设置权限</w:t>
            </w:r>
          </w:p>
        </w:tc>
      </w:tr>
      <w:tr w14:paraId="6CC70E07">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07F455E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10956EA3">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分级分权</w:t>
            </w:r>
          </w:p>
        </w:tc>
        <w:tc>
          <w:tcPr>
            <w:tcW w:w="5025" w:type="dxa"/>
            <w:tcBorders>
              <w:tl2br w:val="nil"/>
              <w:tr2bl w:val="nil"/>
            </w:tcBorders>
            <w:shd w:val="clear" w:color="auto" w:fill="auto"/>
            <w:tcMar>
              <w:top w:w="150" w:type="dxa"/>
              <w:left w:w="0" w:type="dxa"/>
              <w:bottom w:w="150" w:type="dxa"/>
              <w:right w:w="300" w:type="dxa"/>
            </w:tcMar>
            <w:vAlign w:val="center"/>
          </w:tcPr>
          <w:p w14:paraId="7CD17A6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不同人员负责不同栏目、流程节点和操作功能</w:t>
            </w:r>
          </w:p>
        </w:tc>
      </w:tr>
      <w:tr w14:paraId="56E3FBB7">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2CDD0569">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56CC7A79">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关键操作留痕</w:t>
            </w:r>
          </w:p>
        </w:tc>
        <w:tc>
          <w:tcPr>
            <w:tcW w:w="5025" w:type="dxa"/>
            <w:tcBorders>
              <w:tl2br w:val="nil"/>
              <w:tr2bl w:val="nil"/>
            </w:tcBorders>
            <w:shd w:val="clear" w:color="auto" w:fill="auto"/>
            <w:tcMar>
              <w:top w:w="150" w:type="dxa"/>
              <w:left w:w="0" w:type="dxa"/>
              <w:bottom w:w="150" w:type="dxa"/>
              <w:right w:w="300" w:type="dxa"/>
            </w:tcMar>
            <w:vAlign w:val="center"/>
          </w:tcPr>
          <w:p w14:paraId="5A0BF4C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关键操作应记录操作人、操作时间、操作内容和处理结果</w:t>
            </w:r>
          </w:p>
        </w:tc>
      </w:tr>
      <w:tr w14:paraId="12419BA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446D5A9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7FCE4BD2">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全流程留痕</w:t>
            </w:r>
          </w:p>
        </w:tc>
        <w:tc>
          <w:tcPr>
            <w:tcW w:w="5025" w:type="dxa"/>
            <w:tcBorders>
              <w:tl2br w:val="nil"/>
              <w:tr2bl w:val="nil"/>
            </w:tcBorders>
            <w:shd w:val="clear" w:color="auto" w:fill="auto"/>
            <w:tcMar>
              <w:top w:w="150" w:type="dxa"/>
              <w:left w:w="0" w:type="dxa"/>
              <w:bottom w:w="150" w:type="dxa"/>
              <w:right w:w="300" w:type="dxa"/>
            </w:tcMar>
            <w:vAlign w:val="center"/>
          </w:tcPr>
          <w:p w14:paraId="0DD1E77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审核、修改、发布、同步、撤回和导出等操作均应留痕</w:t>
            </w:r>
          </w:p>
        </w:tc>
      </w:tr>
      <w:tr w14:paraId="7C8175F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restart"/>
            <w:tcBorders>
              <w:tl2br w:val="nil"/>
              <w:tr2bl w:val="nil"/>
            </w:tcBorders>
            <w:shd w:val="clear" w:color="auto" w:fill="auto"/>
            <w:tcMar>
              <w:top w:w="150" w:type="dxa"/>
              <w:left w:w="0" w:type="dxa"/>
              <w:bottom w:w="150" w:type="dxa"/>
              <w:right w:w="300" w:type="dxa"/>
            </w:tcMar>
            <w:vAlign w:val="center"/>
          </w:tcPr>
          <w:p w14:paraId="4D47E759">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Style w:val="23"/>
                <w:rFonts w:hint="eastAsia" w:ascii="仿宋" w:hAnsi="仿宋" w:eastAsia="仿宋" w:cs="仿宋"/>
                <w:sz w:val="21"/>
                <w:szCs w:val="21"/>
                <w:vertAlign w:val="baseline"/>
                <w:lang w:val="en-US" w:eastAsia="zh-CN"/>
              </w:rPr>
              <w:t>6</w:t>
            </w:r>
            <w:r>
              <w:rPr>
                <w:rStyle w:val="23"/>
                <w:rFonts w:hint="eastAsia" w:ascii="仿宋" w:hAnsi="仿宋" w:eastAsia="仿宋" w:cs="仿宋"/>
                <w:sz w:val="21"/>
                <w:szCs w:val="21"/>
                <w:vertAlign w:val="baseline"/>
              </w:rPr>
              <w:t>. 系统集成</w:t>
            </w:r>
            <w:r>
              <w:rPr>
                <w:rFonts w:hint="eastAsia" w:ascii="仿宋" w:hAnsi="仿宋" w:eastAsia="仿宋" w:cs="仿宋"/>
                <w:sz w:val="21"/>
                <w:szCs w:val="21"/>
                <w:vertAlign w:val="baseline"/>
              </w:rPr>
              <w:t>​</w:t>
            </w:r>
          </w:p>
        </w:tc>
        <w:tc>
          <w:tcPr>
            <w:tcW w:w="1680" w:type="dxa"/>
            <w:tcBorders>
              <w:tl2br w:val="nil"/>
              <w:tr2bl w:val="nil"/>
            </w:tcBorders>
            <w:shd w:val="clear" w:color="auto" w:fill="auto"/>
            <w:tcMar>
              <w:top w:w="150" w:type="dxa"/>
              <w:left w:w="0" w:type="dxa"/>
              <w:bottom w:w="150" w:type="dxa"/>
              <w:right w:w="300" w:type="dxa"/>
            </w:tcMar>
            <w:vAlign w:val="center"/>
          </w:tcPr>
          <w:p w14:paraId="65FAD314">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基础拓展</w:t>
            </w:r>
          </w:p>
        </w:tc>
        <w:tc>
          <w:tcPr>
            <w:tcW w:w="5025" w:type="dxa"/>
            <w:tcBorders>
              <w:tl2br w:val="nil"/>
              <w:tr2bl w:val="nil"/>
            </w:tcBorders>
            <w:shd w:val="clear" w:color="auto" w:fill="auto"/>
            <w:tcMar>
              <w:top w:w="150" w:type="dxa"/>
              <w:left w:w="0" w:type="dxa"/>
              <w:bottom w:w="150" w:type="dxa"/>
              <w:right w:w="300" w:type="dxa"/>
            </w:tcMar>
            <w:vAlign w:val="center"/>
          </w:tcPr>
          <w:p w14:paraId="57A59C06">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在现有数据中心基础上进行功能拓展，不改变已有核心功能和数据架构</w:t>
            </w:r>
          </w:p>
        </w:tc>
      </w:tr>
      <w:tr w14:paraId="7DB540D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39294EE7">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3B4B6C19">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体系衔接</w:t>
            </w:r>
          </w:p>
        </w:tc>
        <w:tc>
          <w:tcPr>
            <w:tcW w:w="5025" w:type="dxa"/>
            <w:tcBorders>
              <w:tl2br w:val="nil"/>
              <w:tr2bl w:val="nil"/>
            </w:tcBorders>
            <w:shd w:val="clear" w:color="auto" w:fill="auto"/>
            <w:tcMar>
              <w:top w:w="150" w:type="dxa"/>
              <w:left w:w="0" w:type="dxa"/>
              <w:bottom w:w="150" w:type="dxa"/>
              <w:right w:w="300" w:type="dxa"/>
            </w:tcMar>
            <w:vAlign w:val="center"/>
          </w:tcPr>
          <w:p w14:paraId="3FB6A5F3">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与现有组织架构、用户体系、身份认证、内容展示平台等相衔接</w:t>
            </w:r>
          </w:p>
        </w:tc>
      </w:tr>
      <w:tr w14:paraId="22853A5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2B3247D5">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3C4C0BA9">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外网对接</w:t>
            </w:r>
          </w:p>
        </w:tc>
        <w:tc>
          <w:tcPr>
            <w:tcW w:w="5025" w:type="dxa"/>
            <w:tcBorders>
              <w:tl2br w:val="nil"/>
              <w:tr2bl w:val="nil"/>
            </w:tcBorders>
            <w:shd w:val="clear" w:color="auto" w:fill="auto"/>
            <w:tcMar>
              <w:top w:w="150" w:type="dxa"/>
              <w:left w:w="0" w:type="dxa"/>
              <w:bottom w:w="150" w:type="dxa"/>
              <w:right w:w="300" w:type="dxa"/>
            </w:tcMar>
            <w:vAlign w:val="center"/>
          </w:tcPr>
          <w:p w14:paraId="0CDF0987">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如需对接外网网站，应实现内容同步和发布状态联动</w:t>
            </w:r>
          </w:p>
        </w:tc>
      </w:tr>
      <w:tr w14:paraId="6726F4B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7ABD6369">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7826CE9F">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接口规范</w:t>
            </w:r>
          </w:p>
        </w:tc>
        <w:tc>
          <w:tcPr>
            <w:tcW w:w="5025" w:type="dxa"/>
            <w:tcBorders>
              <w:tl2br w:val="nil"/>
              <w:tr2bl w:val="nil"/>
            </w:tcBorders>
            <w:shd w:val="clear" w:color="auto" w:fill="auto"/>
            <w:tcMar>
              <w:top w:w="150" w:type="dxa"/>
              <w:left w:w="0" w:type="dxa"/>
              <w:bottom w:w="150" w:type="dxa"/>
              <w:right w:w="300" w:type="dxa"/>
            </w:tcMar>
            <w:vAlign w:val="center"/>
          </w:tcPr>
          <w:p w14:paraId="6FD3DFB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接口应具备规范性，满足后续内容扩展和系统对接需要</w:t>
            </w:r>
          </w:p>
        </w:tc>
      </w:tr>
      <w:tr w14:paraId="366C147A">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restart"/>
            <w:tcBorders>
              <w:tl2br w:val="nil"/>
              <w:tr2bl w:val="nil"/>
            </w:tcBorders>
            <w:shd w:val="clear" w:color="auto" w:fill="auto"/>
            <w:tcMar>
              <w:top w:w="150" w:type="dxa"/>
              <w:left w:w="0" w:type="dxa"/>
              <w:bottom w:w="150" w:type="dxa"/>
              <w:right w:w="300" w:type="dxa"/>
            </w:tcMar>
            <w:vAlign w:val="center"/>
          </w:tcPr>
          <w:p w14:paraId="51B7E4CA">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rPr>
            </w:pPr>
            <w:r>
              <w:rPr>
                <w:rStyle w:val="23"/>
                <w:rFonts w:hint="eastAsia" w:ascii="仿宋" w:hAnsi="仿宋" w:eastAsia="仿宋" w:cs="仿宋"/>
                <w:sz w:val="21"/>
                <w:szCs w:val="21"/>
                <w:vertAlign w:val="baseline"/>
                <w:lang w:val="en-US" w:eastAsia="zh-CN"/>
              </w:rPr>
              <w:t>7</w:t>
            </w:r>
            <w:r>
              <w:rPr>
                <w:rStyle w:val="23"/>
                <w:rFonts w:hint="eastAsia" w:ascii="仿宋" w:hAnsi="仿宋" w:eastAsia="仿宋" w:cs="仿宋"/>
                <w:sz w:val="21"/>
                <w:szCs w:val="21"/>
                <w:vertAlign w:val="baseline"/>
              </w:rPr>
              <w:t>. 实施及验收</w:t>
            </w:r>
            <w:r>
              <w:rPr>
                <w:rFonts w:hint="eastAsia" w:ascii="仿宋" w:hAnsi="仿宋" w:eastAsia="仿宋" w:cs="仿宋"/>
                <w:sz w:val="21"/>
                <w:szCs w:val="21"/>
                <w:vertAlign w:val="baseline"/>
              </w:rPr>
              <w:t>​</w:t>
            </w:r>
          </w:p>
        </w:tc>
        <w:tc>
          <w:tcPr>
            <w:tcW w:w="1680" w:type="dxa"/>
            <w:tcBorders>
              <w:tl2br w:val="nil"/>
              <w:tr2bl w:val="nil"/>
            </w:tcBorders>
            <w:shd w:val="clear" w:color="auto" w:fill="auto"/>
            <w:tcMar>
              <w:top w:w="150" w:type="dxa"/>
              <w:left w:w="0" w:type="dxa"/>
              <w:bottom w:w="150" w:type="dxa"/>
              <w:right w:w="300" w:type="dxa"/>
            </w:tcMar>
            <w:vAlign w:val="center"/>
          </w:tcPr>
          <w:p w14:paraId="2B2E0811">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实施周期</w:t>
            </w:r>
          </w:p>
        </w:tc>
        <w:tc>
          <w:tcPr>
            <w:tcW w:w="5025" w:type="dxa"/>
            <w:tcBorders>
              <w:tl2br w:val="nil"/>
              <w:tr2bl w:val="nil"/>
            </w:tcBorders>
            <w:shd w:val="clear" w:color="auto" w:fill="auto"/>
            <w:tcMar>
              <w:top w:w="150" w:type="dxa"/>
              <w:left w:w="0" w:type="dxa"/>
              <w:bottom w:w="150" w:type="dxa"/>
              <w:right w:w="300" w:type="dxa"/>
            </w:tcMar>
            <w:vAlign w:val="center"/>
          </w:tcPr>
          <w:p w14:paraId="25C156D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供应商应在合同签订后30天内完成需求确认、系统配置或开发、测试、培训、上线和验收</w:t>
            </w:r>
          </w:p>
        </w:tc>
      </w:tr>
      <w:tr w14:paraId="4974350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177F20C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sz w:val="21"/>
                <w:szCs w:val="21"/>
                <w:vertAlign w:val="baseline"/>
              </w:rPr>
            </w:pPr>
          </w:p>
        </w:tc>
        <w:tc>
          <w:tcPr>
            <w:tcW w:w="1680" w:type="dxa"/>
            <w:tcBorders>
              <w:tl2br w:val="nil"/>
              <w:tr2bl w:val="nil"/>
            </w:tcBorders>
            <w:shd w:val="clear" w:color="auto" w:fill="auto"/>
            <w:tcMar>
              <w:top w:w="150" w:type="dxa"/>
              <w:left w:w="0" w:type="dxa"/>
              <w:bottom w:w="150" w:type="dxa"/>
              <w:right w:w="300" w:type="dxa"/>
            </w:tcMar>
            <w:vAlign w:val="center"/>
          </w:tcPr>
          <w:p w14:paraId="5BC9C92D">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交付材料</w:t>
            </w:r>
          </w:p>
        </w:tc>
        <w:tc>
          <w:tcPr>
            <w:tcW w:w="5025" w:type="dxa"/>
            <w:tcBorders>
              <w:tl2br w:val="nil"/>
              <w:tr2bl w:val="nil"/>
            </w:tcBorders>
            <w:shd w:val="clear" w:color="auto" w:fill="auto"/>
            <w:tcMar>
              <w:top w:w="150" w:type="dxa"/>
              <w:left w:w="0" w:type="dxa"/>
              <w:bottom w:w="150" w:type="dxa"/>
              <w:right w:w="300" w:type="dxa"/>
            </w:tcMar>
            <w:vAlign w:val="center"/>
          </w:tcPr>
          <w:p w14:paraId="038A0C6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eastAsia" w:ascii="仿宋" w:hAnsi="仿宋" w:eastAsia="仿宋" w:cs="仿宋"/>
                <w:sz w:val="21"/>
                <w:szCs w:val="21"/>
              </w:rPr>
            </w:pPr>
            <w:r>
              <w:rPr>
                <w:rFonts w:hint="eastAsia" w:ascii="仿宋" w:hAnsi="仿宋" w:eastAsia="仿宋" w:cs="仿宋"/>
                <w:sz w:val="21"/>
                <w:szCs w:val="21"/>
                <w:vertAlign w:val="baseline"/>
              </w:rPr>
              <w:t>实施过程中应提交需求文档、自测报告、操作手册、培训资料和验收材料</w:t>
            </w:r>
          </w:p>
        </w:tc>
      </w:tr>
      <w:tr w14:paraId="60403A2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restart"/>
            <w:tcBorders>
              <w:tl2br w:val="nil"/>
              <w:tr2bl w:val="nil"/>
            </w:tcBorders>
            <w:shd w:val="clear" w:color="auto" w:fill="auto"/>
            <w:tcMar>
              <w:top w:w="150" w:type="dxa"/>
              <w:left w:w="0" w:type="dxa"/>
              <w:bottom w:w="150" w:type="dxa"/>
              <w:right w:w="300" w:type="dxa"/>
            </w:tcMar>
            <w:vAlign w:val="center"/>
          </w:tcPr>
          <w:p w14:paraId="01ADC89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Style w:val="23"/>
                <w:rFonts w:hint="eastAsia" w:ascii="仿宋" w:hAnsi="仿宋" w:eastAsia="仿宋" w:cs="仿宋"/>
                <w:sz w:val="21"/>
                <w:szCs w:val="21"/>
                <w:vertAlign w:val="baseline"/>
              </w:rPr>
            </w:pPr>
            <w:r>
              <w:rPr>
                <w:rStyle w:val="23"/>
                <w:rFonts w:hint="eastAsia" w:ascii="仿宋" w:hAnsi="仿宋" w:eastAsia="仿宋" w:cs="仿宋"/>
                <w:sz w:val="21"/>
                <w:szCs w:val="21"/>
                <w:vertAlign w:val="baseline"/>
                <w:lang w:val="en-US" w:eastAsia="zh-CN"/>
              </w:rPr>
              <w:t>8.数据中心应用管理</w:t>
            </w:r>
            <w:r>
              <w:rPr>
                <w:rStyle w:val="23"/>
                <w:rFonts w:hint="eastAsia" w:ascii="仿宋" w:hAnsi="仿宋" w:eastAsia="仿宋" w:cs="仿宋"/>
                <w:sz w:val="21"/>
                <w:szCs w:val="21"/>
                <w:vertAlign w:val="baseline"/>
              </w:rPr>
              <w:t>布局优化</w:t>
            </w:r>
          </w:p>
        </w:tc>
        <w:tc>
          <w:tcPr>
            <w:tcW w:w="1680" w:type="dxa"/>
            <w:tcBorders>
              <w:tl2br w:val="nil"/>
              <w:tr2bl w:val="nil"/>
            </w:tcBorders>
            <w:shd w:val="clear" w:color="auto" w:fill="auto"/>
            <w:tcMar>
              <w:top w:w="150" w:type="dxa"/>
              <w:left w:w="0" w:type="dxa"/>
              <w:bottom w:w="150" w:type="dxa"/>
              <w:right w:w="300" w:type="dxa"/>
            </w:tcMar>
            <w:vAlign w:val="center"/>
          </w:tcPr>
          <w:p w14:paraId="25CCBA4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AI功能区</w:t>
            </w:r>
          </w:p>
        </w:tc>
        <w:tc>
          <w:tcPr>
            <w:tcW w:w="5025" w:type="dxa"/>
            <w:tcBorders>
              <w:tl2br w:val="nil"/>
              <w:tr2bl w:val="nil"/>
            </w:tcBorders>
            <w:shd w:val="clear" w:color="auto" w:fill="auto"/>
            <w:tcMar>
              <w:top w:w="150" w:type="dxa"/>
              <w:left w:w="0" w:type="dxa"/>
              <w:bottom w:w="150" w:type="dxa"/>
              <w:right w:w="300" w:type="dxa"/>
            </w:tcMar>
            <w:vAlign w:val="center"/>
          </w:tcPr>
          <w:p w14:paraId="3ABF0A3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改造现有的应用管理菜单模块，增加AI功能区菜单功能，支持应用上架和权限配置</w:t>
            </w:r>
          </w:p>
        </w:tc>
      </w:tr>
      <w:tr w14:paraId="5CC7CCB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PrEx>
        <w:trPr>
          <w:jc w:val="center"/>
        </w:trPr>
        <w:tc>
          <w:tcPr>
            <w:tcW w:w="1961" w:type="dxa"/>
            <w:vMerge w:val="continue"/>
            <w:tcBorders>
              <w:tl2br w:val="nil"/>
              <w:tr2bl w:val="nil"/>
            </w:tcBorders>
            <w:shd w:val="clear" w:color="auto" w:fill="auto"/>
            <w:tcMar>
              <w:top w:w="150" w:type="dxa"/>
              <w:left w:w="0" w:type="dxa"/>
              <w:bottom w:w="150" w:type="dxa"/>
              <w:right w:w="300" w:type="dxa"/>
            </w:tcMar>
            <w:vAlign w:val="center"/>
          </w:tcPr>
          <w:p w14:paraId="185E1BB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Style w:val="23"/>
                <w:rFonts w:hint="eastAsia" w:ascii="仿宋" w:hAnsi="仿宋" w:eastAsia="仿宋" w:cs="仿宋"/>
                <w:sz w:val="21"/>
                <w:szCs w:val="21"/>
                <w:vertAlign w:val="baseline"/>
                <w:lang w:val="en-US" w:eastAsia="zh-CN"/>
              </w:rPr>
            </w:pPr>
          </w:p>
        </w:tc>
        <w:tc>
          <w:tcPr>
            <w:tcW w:w="1680" w:type="dxa"/>
            <w:tcBorders>
              <w:tl2br w:val="nil"/>
              <w:tr2bl w:val="nil"/>
            </w:tcBorders>
            <w:shd w:val="clear" w:color="auto" w:fill="auto"/>
            <w:tcMar>
              <w:top w:w="150" w:type="dxa"/>
              <w:left w:w="0" w:type="dxa"/>
              <w:bottom w:w="150" w:type="dxa"/>
              <w:right w:w="300" w:type="dxa"/>
            </w:tcMar>
            <w:vAlign w:val="center"/>
          </w:tcPr>
          <w:p w14:paraId="55529D7E">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办公区</w:t>
            </w:r>
          </w:p>
        </w:tc>
        <w:tc>
          <w:tcPr>
            <w:tcW w:w="5025" w:type="dxa"/>
            <w:tcBorders>
              <w:tl2br w:val="nil"/>
              <w:tr2bl w:val="nil"/>
            </w:tcBorders>
            <w:shd w:val="clear" w:color="auto" w:fill="auto"/>
            <w:tcMar>
              <w:top w:w="150" w:type="dxa"/>
              <w:left w:w="0" w:type="dxa"/>
              <w:bottom w:w="150" w:type="dxa"/>
              <w:right w:w="300" w:type="dxa"/>
            </w:tcMar>
            <w:vAlign w:val="center"/>
          </w:tcPr>
          <w:p w14:paraId="48998A0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default" w:ascii="仿宋" w:hAnsi="仿宋" w:eastAsia="仿宋" w:cs="仿宋"/>
                <w:sz w:val="21"/>
                <w:szCs w:val="21"/>
                <w:vertAlign w:val="baseline"/>
                <w:lang w:val="en-US"/>
              </w:rPr>
            </w:pPr>
            <w:r>
              <w:rPr>
                <w:rFonts w:hint="eastAsia" w:ascii="仿宋" w:hAnsi="仿宋" w:eastAsia="仿宋" w:cs="仿宋"/>
                <w:sz w:val="21"/>
                <w:szCs w:val="21"/>
                <w:vertAlign w:val="baseline"/>
                <w:lang w:val="en-US" w:eastAsia="zh-CN"/>
              </w:rPr>
              <w:t>改造现有的应用管理菜单模块，增加办公区菜单功能，支持应用上架和权限配置</w:t>
            </w:r>
          </w:p>
        </w:tc>
      </w:tr>
    </w:tbl>
    <w:p w14:paraId="55AFDF25">
      <w:pPr>
        <w:spacing w:line="360" w:lineRule="auto"/>
        <w:rPr>
          <w:rFonts w:hint="eastAsia" w:ascii="仿宋" w:hAnsi="仿宋" w:eastAsia="仿宋"/>
          <w:b/>
          <w:bCs/>
          <w:sz w:val="24"/>
          <w:szCs w:val="28"/>
        </w:rPr>
      </w:pPr>
      <w:r>
        <w:rPr>
          <w:rFonts w:hint="eastAsia" w:ascii="仿宋" w:hAnsi="仿宋" w:eastAsia="仿宋"/>
          <w:b/>
          <w:bCs/>
          <w:sz w:val="24"/>
          <w:szCs w:val="28"/>
          <w:lang w:val="en-US" w:eastAsia="zh-CN"/>
        </w:rPr>
        <w:t>五</w:t>
      </w:r>
      <w:r>
        <w:rPr>
          <w:rFonts w:hint="eastAsia" w:ascii="仿宋" w:hAnsi="仿宋" w:eastAsia="仿宋"/>
          <w:b/>
          <w:bCs/>
          <w:sz w:val="24"/>
          <w:szCs w:val="28"/>
        </w:rPr>
        <w:t>、其它要求</w:t>
      </w:r>
    </w:p>
    <w:p w14:paraId="08223A0D">
      <w:pPr>
        <w:spacing w:line="360" w:lineRule="auto"/>
        <w:ind w:left="480" w:hanging="480" w:hangingChars="200"/>
        <w:jc w:val="left"/>
        <w:rPr>
          <w:rFonts w:hint="eastAsia" w:ascii="仿宋" w:hAnsi="仿宋" w:eastAsia="仿宋"/>
          <w:sz w:val="24"/>
          <w:szCs w:val="28"/>
          <w:lang w:val="en-US" w:eastAsia="zh-CN"/>
        </w:rPr>
      </w:pPr>
      <w:r>
        <w:rPr>
          <w:rFonts w:hint="eastAsia" w:ascii="仿宋" w:hAnsi="仿宋" w:eastAsia="仿宋"/>
          <w:sz w:val="24"/>
          <w:szCs w:val="28"/>
        </w:rPr>
        <w:t>1</w:t>
      </w:r>
      <w:r>
        <w:rPr>
          <w:rFonts w:hint="eastAsia" w:ascii="仿宋" w:hAnsi="仿宋" w:eastAsia="仿宋"/>
          <w:sz w:val="24"/>
          <w:szCs w:val="28"/>
          <w:lang w:eastAsia="zh-CN"/>
        </w:rPr>
        <w:t>、</w:t>
      </w:r>
      <w:r>
        <w:rPr>
          <w:rFonts w:hint="eastAsia" w:ascii="仿宋" w:hAnsi="仿宋" w:eastAsia="仿宋"/>
          <w:sz w:val="24"/>
          <w:szCs w:val="28"/>
        </w:rPr>
        <w:t>服务期限</w:t>
      </w:r>
      <w:r>
        <w:rPr>
          <w:rFonts w:hint="eastAsia" w:ascii="仿宋" w:hAnsi="仿宋" w:eastAsia="仿宋"/>
          <w:sz w:val="24"/>
          <w:szCs w:val="28"/>
          <w:lang w:val="en-US" w:eastAsia="zh-CN"/>
        </w:rPr>
        <w:t>和服务地点</w:t>
      </w:r>
    </w:p>
    <w:p w14:paraId="3B9D6C8E">
      <w:pPr>
        <w:spacing w:line="360" w:lineRule="auto"/>
        <w:ind w:left="480" w:hanging="480" w:hangingChars="200"/>
        <w:jc w:val="left"/>
        <w:rPr>
          <w:rFonts w:hint="eastAsia" w:ascii="仿宋" w:hAnsi="仿宋" w:eastAsia="仿宋"/>
          <w:sz w:val="24"/>
          <w:szCs w:val="28"/>
          <w:lang w:val="en-US" w:eastAsia="zh-CN"/>
        </w:rPr>
      </w:pPr>
      <w:r>
        <w:rPr>
          <w:rFonts w:hint="eastAsia" w:ascii="仿宋" w:hAnsi="仿宋" w:eastAsia="仿宋"/>
          <w:sz w:val="24"/>
          <w:szCs w:val="28"/>
          <w:lang w:val="en-US" w:eastAsia="zh-CN"/>
        </w:rPr>
        <w:t>服务期限：</w:t>
      </w:r>
      <w:r>
        <w:rPr>
          <w:rFonts w:hint="eastAsia" w:ascii="仿宋" w:hAnsi="仿宋" w:eastAsia="仿宋"/>
          <w:sz w:val="24"/>
          <w:szCs w:val="28"/>
        </w:rPr>
        <w:t>合同签订之日</w:t>
      </w:r>
      <w:r>
        <w:rPr>
          <w:rFonts w:hint="eastAsia" w:ascii="仿宋" w:hAnsi="仿宋" w:eastAsia="仿宋"/>
          <w:sz w:val="24"/>
          <w:szCs w:val="28"/>
          <w:lang w:val="en-US" w:eastAsia="zh-CN"/>
        </w:rPr>
        <w:t>后30天内完成交付</w:t>
      </w:r>
      <w:r>
        <w:rPr>
          <w:rFonts w:hint="eastAsia" w:ascii="仿宋" w:hAnsi="仿宋" w:eastAsia="仿宋"/>
          <w:sz w:val="24"/>
          <w:szCs w:val="28"/>
        </w:rPr>
        <w:t xml:space="preserve">  </w:t>
      </w:r>
      <w:r>
        <w:rPr>
          <w:rFonts w:hint="eastAsia" w:ascii="仿宋" w:hAnsi="仿宋" w:eastAsia="仿宋"/>
          <w:sz w:val="24"/>
          <w:szCs w:val="28"/>
          <w:lang w:val="en-US" w:eastAsia="zh-CN"/>
        </w:rPr>
        <w:t xml:space="preserve">                </w:t>
      </w:r>
    </w:p>
    <w:p w14:paraId="57106AE7">
      <w:pPr>
        <w:spacing w:line="360" w:lineRule="auto"/>
        <w:ind w:left="480" w:hanging="480" w:hangingChars="200"/>
        <w:jc w:val="left"/>
        <w:rPr>
          <w:rFonts w:hint="eastAsia" w:ascii="仿宋" w:hAnsi="仿宋" w:eastAsia="仿宋"/>
          <w:sz w:val="24"/>
          <w:szCs w:val="28"/>
        </w:rPr>
      </w:pPr>
      <w:r>
        <w:rPr>
          <w:rFonts w:hint="eastAsia" w:ascii="仿宋" w:hAnsi="仿宋" w:eastAsia="仿宋"/>
          <w:sz w:val="24"/>
          <w:szCs w:val="28"/>
        </w:rPr>
        <w:t>服务地点</w:t>
      </w:r>
      <w:r>
        <w:rPr>
          <w:rFonts w:hint="eastAsia" w:ascii="仿宋" w:hAnsi="仿宋" w:eastAsia="仿宋"/>
          <w:sz w:val="24"/>
          <w:szCs w:val="28"/>
          <w:lang w:eastAsia="zh-CN"/>
        </w:rPr>
        <w:t>：</w:t>
      </w:r>
      <w:r>
        <w:rPr>
          <w:rFonts w:hint="eastAsia" w:ascii="仿宋" w:hAnsi="仿宋" w:eastAsia="仿宋"/>
          <w:sz w:val="24"/>
          <w:szCs w:val="28"/>
        </w:rPr>
        <w:t>上海市工商外国语学校</w:t>
      </w:r>
    </w:p>
    <w:p w14:paraId="2BE1FF4E">
      <w:pPr>
        <w:spacing w:line="360" w:lineRule="auto"/>
        <w:rPr>
          <w:rFonts w:hint="eastAsia" w:ascii="仿宋" w:hAnsi="仿宋" w:eastAsia="仿宋"/>
          <w:sz w:val="24"/>
          <w:szCs w:val="28"/>
        </w:rPr>
      </w:pPr>
      <w:r>
        <w:rPr>
          <w:rFonts w:hint="eastAsia" w:ascii="仿宋" w:hAnsi="仿宋" w:eastAsia="仿宋"/>
          <w:sz w:val="24"/>
          <w:szCs w:val="28"/>
          <w:lang w:val="en-US" w:eastAsia="zh-CN"/>
        </w:rPr>
        <w:t>2、</w:t>
      </w:r>
      <w:r>
        <w:rPr>
          <w:rFonts w:hint="eastAsia" w:ascii="仿宋" w:hAnsi="仿宋" w:eastAsia="仿宋"/>
          <w:sz w:val="24"/>
          <w:szCs w:val="28"/>
        </w:rPr>
        <w:t>付款方式</w:t>
      </w:r>
    </w:p>
    <w:p w14:paraId="180C0F95">
      <w:pPr>
        <w:spacing w:line="360" w:lineRule="auto"/>
        <w:rPr>
          <w:rFonts w:hint="eastAsia" w:ascii="仿宋" w:hAnsi="仿宋" w:eastAsia="仿宋"/>
          <w:sz w:val="24"/>
          <w:szCs w:val="28"/>
        </w:rPr>
      </w:pPr>
      <w:r>
        <w:rPr>
          <w:rFonts w:hint="eastAsia" w:ascii="仿宋" w:hAnsi="仿宋" w:eastAsia="仿宋"/>
          <w:sz w:val="24"/>
          <w:szCs w:val="28"/>
          <w:lang w:val="en-US" w:eastAsia="zh-CN"/>
        </w:rPr>
        <w:t>合同签订后30日内支付30%合同款，项目服务完成且验收通过后30天内，支付70%合同款</w:t>
      </w:r>
      <w:r>
        <w:rPr>
          <w:rFonts w:hint="eastAsia" w:ascii="仿宋" w:hAnsi="仿宋" w:eastAsia="仿宋"/>
          <w:sz w:val="24"/>
          <w:szCs w:val="28"/>
        </w:rPr>
        <w:t>。</w:t>
      </w:r>
    </w:p>
    <w:p w14:paraId="521CB907">
      <w:pPr>
        <w:spacing w:line="360" w:lineRule="auto"/>
        <w:rPr>
          <w:rFonts w:hint="eastAsia" w:ascii="仿宋" w:hAnsi="仿宋" w:eastAsia="仿宋"/>
          <w:sz w:val="24"/>
          <w:szCs w:val="28"/>
          <w:lang w:val="en-US" w:eastAsia="zh-CN"/>
        </w:rPr>
      </w:pPr>
      <w:r>
        <w:rPr>
          <w:rFonts w:hint="eastAsia" w:ascii="仿宋" w:hAnsi="仿宋" w:eastAsia="仿宋"/>
          <w:sz w:val="24"/>
          <w:szCs w:val="28"/>
          <w:lang w:val="en-US" w:eastAsia="zh-CN"/>
        </w:rPr>
        <w:t>3、其他</w:t>
      </w:r>
    </w:p>
    <w:p w14:paraId="04F5BF14">
      <w:pPr>
        <w:spacing w:line="360" w:lineRule="auto"/>
        <w:rPr>
          <w:rFonts w:hint="default" w:ascii="仿宋" w:hAnsi="仿宋" w:eastAsia="仿宋"/>
          <w:sz w:val="24"/>
          <w:szCs w:val="28"/>
          <w:lang w:val="en-US" w:eastAsia="zh-CN"/>
        </w:rPr>
      </w:pPr>
      <w:r>
        <w:rPr>
          <w:rFonts w:hint="eastAsia" w:ascii="仿宋" w:hAnsi="仿宋" w:eastAsia="仿宋"/>
          <w:sz w:val="24"/>
          <w:szCs w:val="28"/>
          <w:lang w:val="en-US" w:eastAsia="zh-CN"/>
        </w:rPr>
        <w:t>项目验收通过后，需提供1年质保期。</w:t>
      </w:r>
    </w:p>
    <w:p w14:paraId="6E8E91DC">
      <w:pPr>
        <w:spacing w:line="360" w:lineRule="auto"/>
        <w:rPr>
          <w:rFonts w:hint="eastAsia" w:ascii="仿宋" w:hAnsi="仿宋" w:eastAsia="仿宋"/>
          <w:sz w:val="24"/>
          <w:szCs w:val="28"/>
        </w:rPr>
      </w:pPr>
      <w:r>
        <w:rPr>
          <w:rFonts w:hint="eastAsia" w:ascii="仿宋" w:hAnsi="仿宋" w:eastAsia="仿宋"/>
          <w:b/>
          <w:bCs/>
          <w:sz w:val="24"/>
          <w:szCs w:val="28"/>
          <w:lang w:val="en-US" w:eastAsia="zh-CN"/>
        </w:rPr>
        <w:t>六</w:t>
      </w:r>
      <w:r>
        <w:rPr>
          <w:rFonts w:hint="eastAsia" w:ascii="仿宋" w:hAnsi="仿宋" w:eastAsia="仿宋"/>
          <w:b/>
          <w:bCs/>
          <w:sz w:val="24"/>
          <w:szCs w:val="28"/>
        </w:rPr>
        <w:t>、报价文件要求</w:t>
      </w:r>
    </w:p>
    <w:p w14:paraId="6E7E8FB1">
      <w:pPr>
        <w:widowControl/>
        <w:spacing w:line="360" w:lineRule="auto"/>
        <w:jc w:val="left"/>
        <w:rPr>
          <w:rFonts w:hint="eastAsia" w:ascii="仿宋" w:hAnsi="仿宋" w:eastAsia="仿宋"/>
          <w:sz w:val="24"/>
          <w:szCs w:val="28"/>
        </w:rPr>
      </w:pPr>
      <w:r>
        <w:rPr>
          <w:rFonts w:hint="eastAsia" w:ascii="仿宋" w:hAnsi="仿宋" w:eastAsia="仿宋"/>
          <w:sz w:val="24"/>
          <w:szCs w:val="28"/>
        </w:rPr>
        <w:t>1、响应文件须装订成册</w:t>
      </w:r>
      <w:r>
        <w:rPr>
          <w:rFonts w:hint="eastAsia" w:ascii="仿宋" w:hAnsi="仿宋" w:eastAsia="仿宋"/>
          <w:sz w:val="24"/>
          <w:szCs w:val="28"/>
          <w:lang w:eastAsia="zh-CN"/>
        </w:rPr>
        <w:t>，</w:t>
      </w:r>
      <w:r>
        <w:rPr>
          <w:rFonts w:hint="eastAsia" w:ascii="仿宋" w:hAnsi="仿宋" w:eastAsia="仿宋"/>
          <w:sz w:val="24"/>
          <w:szCs w:val="28"/>
          <w:lang w:val="en-US" w:eastAsia="zh-CN"/>
        </w:rPr>
        <w:t>逐页加盖公章</w:t>
      </w:r>
      <w:r>
        <w:rPr>
          <w:rFonts w:hint="eastAsia" w:ascii="仿宋" w:hAnsi="仿宋" w:eastAsia="仿宋"/>
          <w:sz w:val="24"/>
          <w:szCs w:val="28"/>
        </w:rPr>
        <w:t>，并需提供所有响应文件加盖公章的电子文档PDF格式保存于U盘，与响应文件共同密封包装在一个密封袋中。（不接受闪送，顺丰同城需在快递袋标注快递号）</w:t>
      </w:r>
    </w:p>
    <w:p w14:paraId="085B735D">
      <w:pPr>
        <w:widowControl/>
        <w:spacing w:line="360" w:lineRule="auto"/>
        <w:jc w:val="left"/>
        <w:rPr>
          <w:rFonts w:hint="eastAsia" w:ascii="仿宋" w:hAnsi="仿宋" w:eastAsia="仿宋"/>
          <w:sz w:val="24"/>
          <w:szCs w:val="28"/>
        </w:rPr>
      </w:pPr>
      <w:r>
        <w:rPr>
          <w:rFonts w:hint="eastAsia" w:ascii="仿宋" w:hAnsi="仿宋" w:eastAsia="仿宋"/>
          <w:sz w:val="24"/>
          <w:szCs w:val="28"/>
        </w:rPr>
        <w:t>2、响应文件中不得有任何擦涂、更改痕迹。若需改正错漏，须由响应文件签发人在更正处加签。</w:t>
      </w:r>
    </w:p>
    <w:p w14:paraId="37656637">
      <w:pPr>
        <w:widowControl/>
        <w:spacing w:line="360" w:lineRule="auto"/>
        <w:jc w:val="left"/>
        <w:rPr>
          <w:rFonts w:hint="eastAsia" w:ascii="仿宋" w:hAnsi="仿宋" w:eastAsia="仿宋"/>
          <w:sz w:val="24"/>
          <w:szCs w:val="28"/>
        </w:rPr>
      </w:pPr>
      <w:r>
        <w:rPr>
          <w:rFonts w:hint="eastAsia" w:ascii="仿宋" w:hAnsi="仿宋" w:eastAsia="仿宋"/>
          <w:sz w:val="24"/>
          <w:szCs w:val="28"/>
        </w:rPr>
        <w:t>3、报价单位提交的所有资质证明资料不得出现伪造痕迹，一经发现，报价无效。</w:t>
      </w:r>
    </w:p>
    <w:p w14:paraId="480F24FF">
      <w:pPr>
        <w:widowControl/>
        <w:spacing w:line="360" w:lineRule="auto"/>
        <w:jc w:val="left"/>
        <w:rPr>
          <w:rFonts w:hint="eastAsia" w:ascii="仿宋" w:hAnsi="仿宋" w:eastAsia="仿宋"/>
          <w:sz w:val="24"/>
          <w:szCs w:val="28"/>
        </w:rPr>
      </w:pPr>
      <w:r>
        <w:rPr>
          <w:rFonts w:hint="eastAsia" w:ascii="仿宋" w:hAnsi="仿宋" w:eastAsia="仿宋"/>
          <w:sz w:val="24"/>
          <w:szCs w:val="28"/>
        </w:rPr>
        <w:t>4、报价文件需打印纸质文件提供，并由报价单位或经报价单位正式授权的代表签字。授权代表须将以书面形式出具的“委托授权书”附在响应文件中。每份报价文件均应由投标单位或其授权代表签字。</w:t>
      </w:r>
    </w:p>
    <w:p w14:paraId="080B1C63">
      <w:pPr>
        <w:widowControl/>
        <w:spacing w:line="360" w:lineRule="auto"/>
        <w:jc w:val="left"/>
        <w:rPr>
          <w:rFonts w:hint="eastAsia" w:ascii="仿宋" w:hAnsi="仿宋" w:eastAsia="仿宋"/>
          <w:sz w:val="24"/>
          <w:szCs w:val="28"/>
        </w:rPr>
      </w:pPr>
      <w:r>
        <w:rPr>
          <w:rFonts w:hint="eastAsia" w:ascii="仿宋" w:hAnsi="仿宋" w:eastAsia="仿宋"/>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2785AF2D">
      <w:pPr>
        <w:widowControl/>
        <w:spacing w:line="360" w:lineRule="auto"/>
        <w:jc w:val="left"/>
        <w:rPr>
          <w:rFonts w:hint="eastAsia" w:ascii="仿宋" w:hAnsi="仿宋" w:eastAsia="仿宋"/>
          <w:sz w:val="24"/>
          <w:szCs w:val="28"/>
        </w:rPr>
      </w:pPr>
      <w:r>
        <w:rPr>
          <w:rFonts w:hint="eastAsia" w:ascii="仿宋" w:hAnsi="仿宋" w:eastAsia="仿宋"/>
          <w:sz w:val="24"/>
          <w:szCs w:val="28"/>
        </w:rPr>
        <w:t>6、报价货币，均应以人民币元报价。</w:t>
      </w:r>
      <w:r>
        <w:rPr>
          <w:rFonts w:hint="eastAsia" w:ascii="仿宋" w:hAnsi="仿宋" w:eastAsia="仿宋"/>
          <w:sz w:val="24"/>
          <w:szCs w:val="28"/>
        </w:rPr>
        <w:br w:type="page"/>
      </w:r>
    </w:p>
    <w:p w14:paraId="6C70E7C0">
      <w:pPr>
        <w:spacing w:line="440" w:lineRule="exact"/>
        <w:rPr>
          <w:rFonts w:hint="eastAsia"/>
          <w:sz w:val="24"/>
          <w:szCs w:val="28"/>
        </w:rPr>
      </w:pPr>
      <w:bookmarkStart w:id="0" w:name="OLE_LINK7"/>
      <w:r>
        <w:rPr>
          <w:rFonts w:hint="eastAsia"/>
          <w:sz w:val="24"/>
          <w:szCs w:val="28"/>
        </w:rPr>
        <w:t>附件</w:t>
      </w:r>
      <w:r>
        <w:rPr>
          <w:sz w:val="24"/>
          <w:szCs w:val="28"/>
        </w:rPr>
        <w:t>1</w:t>
      </w:r>
    </w:p>
    <w:p w14:paraId="4277A63D">
      <w:pPr>
        <w:spacing w:line="440" w:lineRule="exact"/>
        <w:jc w:val="center"/>
        <w:rPr>
          <w:rFonts w:hint="eastAsia" w:ascii="黑体" w:hAnsi="黑体" w:eastAsia="黑体"/>
          <w:bCs/>
          <w:sz w:val="24"/>
          <w:szCs w:val="28"/>
        </w:rPr>
      </w:pPr>
      <w:r>
        <w:rPr>
          <w:rFonts w:hint="eastAsia" w:ascii="黑体" w:hAnsi="黑体" w:eastAsia="黑体"/>
          <w:b/>
          <w:sz w:val="24"/>
          <w:szCs w:val="28"/>
        </w:rPr>
        <w:t>响应承诺书</w:t>
      </w:r>
    </w:p>
    <w:p w14:paraId="033144CF">
      <w:pPr>
        <w:spacing w:line="440" w:lineRule="exact"/>
        <w:rPr>
          <w:rFonts w:hint="eastAsia" w:ascii="仿宋" w:hAnsi="仿宋" w:eastAsia="仿宋"/>
          <w:sz w:val="24"/>
          <w:szCs w:val="28"/>
        </w:rPr>
      </w:pPr>
      <w:r>
        <w:rPr>
          <w:rFonts w:hint="eastAsia" w:ascii="仿宋" w:hAnsi="仿宋" w:eastAsia="仿宋"/>
          <w:sz w:val="24"/>
          <w:szCs w:val="28"/>
          <w:u w:val="single"/>
        </w:rPr>
        <w:t xml:space="preserve">上海市工商外国语学校  </w:t>
      </w:r>
      <w:r>
        <w:rPr>
          <w:rFonts w:hint="eastAsia" w:ascii="仿宋" w:hAnsi="仿宋" w:eastAsia="仿宋"/>
          <w:sz w:val="24"/>
          <w:szCs w:val="28"/>
        </w:rPr>
        <w:t xml:space="preserve"> ：     </w:t>
      </w:r>
    </w:p>
    <w:p w14:paraId="14297A17">
      <w:pPr>
        <w:spacing w:line="440" w:lineRule="exact"/>
        <w:rPr>
          <w:rFonts w:hint="eastAsia" w:ascii="仿宋" w:hAnsi="仿宋" w:eastAsia="仿宋"/>
          <w:sz w:val="24"/>
          <w:szCs w:val="28"/>
        </w:rPr>
      </w:pPr>
      <w:r>
        <w:rPr>
          <w:rFonts w:hint="eastAsia" w:ascii="仿宋" w:hAnsi="仿宋" w:eastAsia="仿宋"/>
          <w:sz w:val="24"/>
          <w:szCs w:val="28"/>
          <w:u w:val="single"/>
        </w:rPr>
        <w:t>（响应单位全称）</w:t>
      </w:r>
      <w:r>
        <w:rPr>
          <w:rFonts w:hint="eastAsia" w:ascii="仿宋" w:hAnsi="仿宋" w:eastAsia="仿宋"/>
          <w:sz w:val="24"/>
          <w:szCs w:val="28"/>
        </w:rPr>
        <w:t xml:space="preserve">授权 </w:t>
      </w:r>
      <w:r>
        <w:rPr>
          <w:rFonts w:hint="eastAsia" w:ascii="仿宋" w:hAnsi="仿宋" w:eastAsia="仿宋"/>
          <w:sz w:val="24"/>
          <w:szCs w:val="28"/>
          <w:u w:val="single"/>
        </w:rPr>
        <w:t>（响应单位代表姓名）（职务、职称）</w:t>
      </w:r>
      <w:r>
        <w:rPr>
          <w:rFonts w:hint="eastAsia" w:ascii="仿宋" w:hAnsi="仿宋" w:eastAsia="仿宋"/>
          <w:sz w:val="24"/>
          <w:szCs w:val="28"/>
        </w:rPr>
        <w:t>为全权代表，参加贵方组织的</w:t>
      </w:r>
      <w:r>
        <w:rPr>
          <w:rFonts w:hint="eastAsia" w:ascii="仿宋" w:hAnsi="仿宋" w:eastAsia="仿宋"/>
          <w:sz w:val="24"/>
          <w:szCs w:val="28"/>
          <w:u w:val="single"/>
        </w:rPr>
        <w:t>（项目编号、项目名称）</w:t>
      </w:r>
      <w:r>
        <w:rPr>
          <w:rFonts w:hint="eastAsia" w:ascii="仿宋" w:hAnsi="仿宋" w:eastAsia="仿宋"/>
          <w:sz w:val="24"/>
          <w:szCs w:val="28"/>
        </w:rPr>
        <w:t>采购的有关活动，并对服务进行响应。为此：</w:t>
      </w:r>
    </w:p>
    <w:p w14:paraId="163D8360">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我方提供报价须知规定的全部响应文件：响应文件一份正本、叁份副本；</w:t>
      </w:r>
    </w:p>
    <w:p w14:paraId="50E5BB23">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我方的报价为（大写）：</w:t>
      </w:r>
      <w:r>
        <w:rPr>
          <w:rFonts w:hint="eastAsia" w:ascii="仿宋" w:hAnsi="仿宋" w:eastAsia="仿宋"/>
          <w:sz w:val="24"/>
          <w:szCs w:val="28"/>
          <w:u w:val="single"/>
        </w:rPr>
        <w:t xml:space="preserve">         （元）</w:t>
      </w:r>
      <w:r>
        <w:rPr>
          <w:rFonts w:hint="eastAsia" w:ascii="仿宋" w:hAnsi="仿宋" w:eastAsia="仿宋"/>
          <w:sz w:val="24"/>
          <w:szCs w:val="28"/>
        </w:rPr>
        <w:t xml:space="preserve"> </w:t>
      </w:r>
    </w:p>
    <w:p w14:paraId="18490F93">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我方保证遵守报价须知中的有关规定。</w:t>
      </w:r>
    </w:p>
    <w:p w14:paraId="45E7366B">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我方保证忠实地执行买卖双方所签署的经济合同，并承担合同规定的责任义务。</w:t>
      </w:r>
    </w:p>
    <w:p w14:paraId="521F93AB">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我方愿意向贵方提供任何与该项目投标有关的数据、情况和技术资料。</w:t>
      </w:r>
    </w:p>
    <w:p w14:paraId="2070D712">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我方愿意履行自己在响应文件中的全部承诺和责任。</w:t>
      </w:r>
    </w:p>
    <w:p w14:paraId="23F7A01D">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本响应文件自响应截止时间之日起90个日历日内有效。</w:t>
      </w:r>
    </w:p>
    <w:p w14:paraId="6DC63274">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与本项目有关的一切往来通讯请寄：</w:t>
      </w:r>
    </w:p>
    <w:p w14:paraId="678A75A3">
      <w:pPr>
        <w:spacing w:line="440" w:lineRule="exact"/>
        <w:rPr>
          <w:rFonts w:hint="eastAsia" w:ascii="仿宋" w:hAnsi="仿宋" w:eastAsia="仿宋"/>
          <w:sz w:val="24"/>
          <w:szCs w:val="28"/>
          <w:u w:val="single"/>
        </w:rPr>
      </w:pPr>
      <w:r>
        <w:rPr>
          <w:rFonts w:hint="eastAsia" w:ascii="仿宋" w:hAnsi="仿宋" w:eastAsia="仿宋"/>
          <w:sz w:val="24"/>
          <w:szCs w:val="28"/>
        </w:rPr>
        <w:t>地址：</w:t>
      </w:r>
    </w:p>
    <w:p w14:paraId="45CFE4D4">
      <w:pPr>
        <w:spacing w:line="440" w:lineRule="exact"/>
        <w:rPr>
          <w:rFonts w:hint="eastAsia" w:ascii="仿宋" w:hAnsi="仿宋" w:eastAsia="仿宋"/>
          <w:sz w:val="24"/>
          <w:szCs w:val="28"/>
        </w:rPr>
      </w:pPr>
      <w:r>
        <w:rPr>
          <w:rFonts w:hint="eastAsia" w:ascii="仿宋" w:hAnsi="仿宋" w:eastAsia="仿宋"/>
          <w:sz w:val="24"/>
          <w:szCs w:val="28"/>
        </w:rPr>
        <w:t xml:space="preserve">邮编： </w:t>
      </w:r>
    </w:p>
    <w:p w14:paraId="538A6119">
      <w:pPr>
        <w:spacing w:line="440" w:lineRule="exact"/>
        <w:rPr>
          <w:rFonts w:hint="eastAsia" w:ascii="仿宋" w:hAnsi="仿宋" w:eastAsia="仿宋"/>
          <w:sz w:val="24"/>
          <w:szCs w:val="28"/>
        </w:rPr>
      </w:pPr>
      <w:r>
        <w:rPr>
          <w:rFonts w:hint="eastAsia" w:ascii="仿宋" w:hAnsi="仿宋" w:eastAsia="仿宋"/>
          <w:sz w:val="24"/>
          <w:szCs w:val="28"/>
        </w:rPr>
        <w:t xml:space="preserve">电话： </w:t>
      </w:r>
    </w:p>
    <w:p w14:paraId="7EBBCBE1">
      <w:pPr>
        <w:spacing w:line="440" w:lineRule="exact"/>
        <w:rPr>
          <w:rFonts w:hint="eastAsia" w:ascii="仿宋" w:hAnsi="仿宋" w:eastAsia="仿宋"/>
          <w:sz w:val="24"/>
          <w:szCs w:val="28"/>
        </w:rPr>
      </w:pPr>
      <w:r>
        <w:rPr>
          <w:rFonts w:hint="eastAsia" w:ascii="仿宋" w:hAnsi="仿宋" w:eastAsia="仿宋"/>
          <w:sz w:val="24"/>
          <w:szCs w:val="28"/>
        </w:rPr>
        <w:t>传真：</w:t>
      </w:r>
    </w:p>
    <w:p w14:paraId="058961BD">
      <w:pPr>
        <w:spacing w:line="440" w:lineRule="exact"/>
        <w:rPr>
          <w:rFonts w:hint="eastAsia" w:ascii="仿宋" w:hAnsi="仿宋" w:eastAsia="仿宋"/>
          <w:sz w:val="24"/>
          <w:szCs w:val="28"/>
        </w:rPr>
      </w:pPr>
      <w:r>
        <w:rPr>
          <w:rFonts w:hint="eastAsia" w:ascii="仿宋" w:hAnsi="仿宋" w:eastAsia="仿宋"/>
          <w:sz w:val="24"/>
          <w:szCs w:val="28"/>
        </w:rPr>
        <w:t>响应单位代表签字：</w:t>
      </w:r>
    </w:p>
    <w:p w14:paraId="027751D3">
      <w:pPr>
        <w:spacing w:line="440" w:lineRule="exact"/>
        <w:rPr>
          <w:rFonts w:hint="eastAsia" w:ascii="仿宋" w:hAnsi="仿宋" w:eastAsia="仿宋"/>
          <w:sz w:val="24"/>
          <w:szCs w:val="28"/>
        </w:rPr>
      </w:pPr>
      <w:r>
        <w:rPr>
          <w:rFonts w:hint="eastAsia" w:ascii="仿宋" w:hAnsi="仿宋" w:eastAsia="仿宋"/>
          <w:sz w:val="24"/>
          <w:szCs w:val="28"/>
        </w:rPr>
        <w:t>响应单位名称（盖公章）：</w:t>
      </w:r>
    </w:p>
    <w:p w14:paraId="368ACE0A">
      <w:pPr>
        <w:spacing w:line="440" w:lineRule="exact"/>
        <w:rPr>
          <w:rFonts w:hint="eastAsia" w:ascii="仿宋" w:hAnsi="仿宋" w:eastAsia="仿宋"/>
          <w:sz w:val="24"/>
          <w:szCs w:val="28"/>
        </w:rPr>
      </w:pPr>
      <w:r>
        <w:rPr>
          <w:rFonts w:hint="eastAsia" w:ascii="仿宋" w:hAnsi="仿宋" w:eastAsia="仿宋"/>
          <w:sz w:val="24"/>
          <w:szCs w:val="28"/>
        </w:rPr>
        <w:t>日     期：</w:t>
      </w:r>
    </w:p>
    <w:p w14:paraId="060F2CEE">
      <w:pPr>
        <w:spacing w:line="440" w:lineRule="exact"/>
        <w:rPr>
          <w:rFonts w:hint="eastAsia" w:ascii="仿宋" w:hAnsi="仿宋" w:eastAsia="仿宋"/>
          <w:sz w:val="24"/>
          <w:szCs w:val="28"/>
        </w:rPr>
      </w:pPr>
    </w:p>
    <w:p w14:paraId="0F3B6208">
      <w:pPr>
        <w:widowControl/>
        <w:jc w:val="left"/>
        <w:rPr>
          <w:rFonts w:hint="eastAsia" w:ascii="仿宋" w:hAnsi="仿宋" w:eastAsia="仿宋"/>
          <w:sz w:val="24"/>
          <w:szCs w:val="28"/>
        </w:rPr>
      </w:pPr>
      <w:r>
        <w:rPr>
          <w:rFonts w:hint="eastAsia" w:ascii="仿宋" w:hAnsi="仿宋" w:eastAsia="仿宋"/>
          <w:sz w:val="24"/>
          <w:szCs w:val="28"/>
        </w:rPr>
        <w:br w:type="page"/>
      </w:r>
    </w:p>
    <w:p w14:paraId="742C8FE4">
      <w:pPr>
        <w:spacing w:line="440" w:lineRule="exact"/>
        <w:rPr>
          <w:rFonts w:hint="eastAsia"/>
          <w:sz w:val="24"/>
          <w:szCs w:val="28"/>
        </w:rPr>
      </w:pPr>
      <w:r>
        <w:rPr>
          <w:rFonts w:hint="eastAsia"/>
          <w:sz w:val="24"/>
          <w:szCs w:val="28"/>
        </w:rPr>
        <w:t>附件</w:t>
      </w:r>
      <w:r>
        <w:rPr>
          <w:sz w:val="24"/>
          <w:szCs w:val="28"/>
        </w:rPr>
        <w:t>2</w:t>
      </w:r>
    </w:p>
    <w:p w14:paraId="6C990680">
      <w:pPr>
        <w:spacing w:line="440" w:lineRule="exact"/>
        <w:rPr>
          <w:rFonts w:hint="eastAsia"/>
          <w:b/>
          <w:sz w:val="24"/>
          <w:szCs w:val="28"/>
        </w:rPr>
      </w:pPr>
    </w:p>
    <w:p w14:paraId="459B5343">
      <w:pPr>
        <w:spacing w:line="440" w:lineRule="exact"/>
        <w:jc w:val="center"/>
        <w:rPr>
          <w:rFonts w:hint="eastAsia"/>
          <w:b/>
          <w:sz w:val="24"/>
          <w:szCs w:val="28"/>
        </w:rPr>
      </w:pPr>
      <w:r>
        <w:rPr>
          <w:rFonts w:hint="eastAsia"/>
          <w:b/>
          <w:sz w:val="24"/>
          <w:szCs w:val="28"/>
        </w:rPr>
        <w:t>报价单</w:t>
      </w:r>
    </w:p>
    <w:p w14:paraId="72D6076E">
      <w:pPr>
        <w:spacing w:line="440" w:lineRule="exact"/>
        <w:rPr>
          <w:rFonts w:hint="eastAsia" w:ascii="仿宋" w:hAnsi="仿宋" w:eastAsia="仿宋"/>
          <w:sz w:val="24"/>
          <w:szCs w:val="28"/>
        </w:rPr>
      </w:pPr>
      <w:r>
        <w:rPr>
          <w:rFonts w:hint="eastAsia" w:ascii="仿宋" w:hAnsi="仿宋" w:eastAsia="仿宋"/>
          <w:sz w:val="24"/>
          <w:szCs w:val="28"/>
        </w:rPr>
        <w:t>致：上海市工商外国语学校：</w:t>
      </w:r>
    </w:p>
    <w:p w14:paraId="17E7FBDA">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兹就贵单位的比选函提交书面报价文件，承诺严格遵守国家的相关法律法规及上海市工商外国语学校的相关规定，诚信参加贵校的比选采购活动。</w:t>
      </w:r>
    </w:p>
    <w:p w14:paraId="39B59B75">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如成交，将按要求签订合同并履行相应的责任和义务。现根据服务需求内容编制本报价单，报价有效期</w:t>
      </w:r>
      <w:r>
        <w:rPr>
          <w:rFonts w:hint="eastAsia" w:ascii="仿宋" w:hAnsi="仿宋" w:eastAsia="仿宋"/>
          <w:sz w:val="24"/>
          <w:szCs w:val="28"/>
          <w:u w:val="single"/>
        </w:rPr>
        <w:t xml:space="preserve">               </w:t>
      </w:r>
      <w:r>
        <w:rPr>
          <w:rFonts w:hint="eastAsia" w:ascii="仿宋" w:hAnsi="仿宋" w:eastAsia="仿宋"/>
          <w:sz w:val="24"/>
          <w:szCs w:val="28"/>
        </w:rPr>
        <w:t>，并授权本单位职工</w:t>
      </w:r>
      <w:r>
        <w:rPr>
          <w:rFonts w:hint="eastAsia" w:ascii="仿宋" w:hAnsi="仿宋" w:eastAsia="仿宋"/>
          <w:sz w:val="24"/>
          <w:szCs w:val="28"/>
          <w:u w:val="single"/>
        </w:rPr>
        <w:t xml:space="preserve">                   </w:t>
      </w:r>
      <w:r>
        <w:rPr>
          <w:rFonts w:hint="eastAsia" w:ascii="仿宋" w:hAnsi="仿宋" w:eastAsia="仿宋"/>
          <w:sz w:val="24"/>
          <w:szCs w:val="28"/>
        </w:rPr>
        <w:t>（姓名、身份证号）作为该货物报价及履约代表，负责该项目的一切相关事宜，并提供相关的资质证明材料（如有见附件）。</w:t>
      </w:r>
    </w:p>
    <w:p w14:paraId="0719B95D">
      <w:pPr>
        <w:spacing w:line="440" w:lineRule="exact"/>
        <w:rPr>
          <w:rFonts w:hint="eastAsia" w:ascii="仿宋" w:hAnsi="仿宋" w:eastAsia="仿宋"/>
          <w:sz w:val="24"/>
          <w:szCs w:val="28"/>
        </w:rPr>
      </w:pPr>
    </w:p>
    <w:p w14:paraId="00E8E0CF">
      <w:pPr>
        <w:spacing w:line="440" w:lineRule="exact"/>
        <w:rPr>
          <w:rFonts w:hint="eastAsia" w:ascii="仿宋" w:hAnsi="仿宋" w:eastAsia="仿宋"/>
          <w:sz w:val="24"/>
          <w:szCs w:val="28"/>
        </w:rPr>
      </w:pPr>
      <w:r>
        <w:rPr>
          <w:rFonts w:hint="eastAsia" w:ascii="仿宋" w:hAnsi="仿宋" w:eastAsia="仿宋"/>
          <w:sz w:val="24"/>
          <w:szCs w:val="28"/>
        </w:rPr>
        <w:t>服务报价内容</w:t>
      </w:r>
    </w:p>
    <w:p w14:paraId="01050546">
      <w:pPr>
        <w:spacing w:line="440" w:lineRule="exact"/>
        <w:rPr>
          <w:rFonts w:hint="eastAsia" w:ascii="仿宋" w:hAnsi="仿宋" w:eastAsia="仿宋"/>
          <w:sz w:val="24"/>
          <w:szCs w:val="28"/>
        </w:rPr>
      </w:pPr>
      <w:r>
        <w:rPr>
          <w:rFonts w:hint="eastAsia" w:ascii="仿宋" w:hAnsi="仿宋" w:eastAsia="仿宋"/>
          <w:sz w:val="24"/>
          <w:szCs w:val="28"/>
        </w:rPr>
        <w:t>（服务内容自拟）</w:t>
      </w:r>
    </w:p>
    <w:p w14:paraId="38A7F804">
      <w:pPr>
        <w:spacing w:line="440" w:lineRule="exact"/>
        <w:rPr>
          <w:rFonts w:hint="eastAsia" w:ascii="仿宋" w:hAnsi="仿宋" w:eastAsia="仿宋"/>
          <w:sz w:val="24"/>
          <w:szCs w:val="28"/>
        </w:rPr>
      </w:pPr>
    </w:p>
    <w:p w14:paraId="1EE28F87">
      <w:pPr>
        <w:spacing w:line="440" w:lineRule="exact"/>
        <w:rPr>
          <w:rFonts w:hint="eastAsia" w:ascii="仿宋" w:hAnsi="仿宋" w:eastAsia="仿宋"/>
          <w:sz w:val="24"/>
          <w:szCs w:val="28"/>
        </w:rPr>
      </w:pPr>
    </w:p>
    <w:p w14:paraId="74A8DFA5">
      <w:pPr>
        <w:spacing w:line="440" w:lineRule="exact"/>
        <w:rPr>
          <w:rFonts w:hint="eastAsia" w:ascii="仿宋" w:hAnsi="仿宋" w:eastAsia="仿宋"/>
          <w:sz w:val="24"/>
          <w:szCs w:val="28"/>
        </w:rPr>
      </w:pPr>
    </w:p>
    <w:p w14:paraId="0D98A03A">
      <w:pPr>
        <w:spacing w:line="440" w:lineRule="exact"/>
        <w:rPr>
          <w:rFonts w:hint="eastAsia" w:ascii="仿宋" w:hAnsi="仿宋" w:eastAsia="仿宋"/>
          <w:sz w:val="24"/>
          <w:szCs w:val="28"/>
        </w:rPr>
      </w:pPr>
    </w:p>
    <w:p w14:paraId="3347781C">
      <w:pPr>
        <w:spacing w:line="440" w:lineRule="exact"/>
        <w:rPr>
          <w:rFonts w:hint="eastAsia" w:ascii="仿宋" w:hAnsi="仿宋" w:eastAsia="仿宋"/>
          <w:sz w:val="24"/>
          <w:szCs w:val="28"/>
        </w:rPr>
      </w:pPr>
      <w:r>
        <w:rPr>
          <w:rFonts w:hint="eastAsia" w:ascii="仿宋" w:hAnsi="仿宋" w:eastAsia="仿宋"/>
          <w:sz w:val="24"/>
          <w:szCs w:val="28"/>
        </w:rPr>
        <w:t>报价单位（公章）：</w:t>
      </w:r>
      <w:r>
        <w:rPr>
          <w:rFonts w:hint="eastAsia" w:ascii="仿宋" w:hAnsi="仿宋" w:eastAsia="仿宋"/>
          <w:sz w:val="24"/>
          <w:szCs w:val="28"/>
          <w:u w:val="single"/>
        </w:rPr>
        <w:t xml:space="preserve">                                                </w:t>
      </w:r>
      <w:r>
        <w:rPr>
          <w:rFonts w:hint="eastAsia" w:ascii="仿宋" w:hAnsi="仿宋" w:eastAsia="仿宋"/>
          <w:sz w:val="24"/>
          <w:szCs w:val="28"/>
        </w:rPr>
        <w:t xml:space="preserve">   </w:t>
      </w:r>
    </w:p>
    <w:p w14:paraId="57D79600">
      <w:pPr>
        <w:spacing w:line="440" w:lineRule="exact"/>
        <w:rPr>
          <w:rFonts w:hint="eastAsia" w:ascii="仿宋" w:hAnsi="仿宋" w:eastAsia="仿宋"/>
          <w:sz w:val="24"/>
          <w:szCs w:val="28"/>
          <w:u w:val="single"/>
        </w:rPr>
      </w:pPr>
      <w:r>
        <w:rPr>
          <w:rFonts w:hint="eastAsia" w:ascii="仿宋" w:hAnsi="仿宋" w:eastAsia="仿宋"/>
          <w:sz w:val="24"/>
          <w:szCs w:val="28"/>
        </w:rPr>
        <w:t>授权代表（签字、电话/邮箱）：</w:t>
      </w:r>
      <w:r>
        <w:rPr>
          <w:rFonts w:hint="eastAsia" w:ascii="仿宋" w:hAnsi="仿宋" w:eastAsia="仿宋"/>
          <w:sz w:val="24"/>
          <w:szCs w:val="28"/>
          <w:u w:val="single"/>
        </w:rPr>
        <w:t xml:space="preserve">                             </w:t>
      </w:r>
    </w:p>
    <w:p w14:paraId="04A250F3">
      <w:pPr>
        <w:spacing w:line="440" w:lineRule="exact"/>
        <w:rPr>
          <w:rFonts w:hint="eastAsia" w:ascii="仿宋" w:hAnsi="仿宋" w:eastAsia="仿宋"/>
          <w:sz w:val="24"/>
          <w:szCs w:val="28"/>
        </w:rPr>
      </w:pPr>
      <w:r>
        <w:rPr>
          <w:rFonts w:hint="eastAsia" w:ascii="仿宋" w:hAnsi="仿宋" w:eastAsia="仿宋"/>
          <w:sz w:val="24"/>
          <w:szCs w:val="28"/>
        </w:rPr>
        <w:t>法定地址：</w:t>
      </w:r>
      <w:r>
        <w:rPr>
          <w:rFonts w:hint="eastAsia" w:ascii="仿宋" w:hAnsi="仿宋" w:eastAsia="仿宋"/>
          <w:sz w:val="24"/>
          <w:szCs w:val="28"/>
          <w:u w:val="single"/>
        </w:rPr>
        <w:t xml:space="preserve">                       （邮编：      ）</w:t>
      </w:r>
    </w:p>
    <w:p w14:paraId="620830AC">
      <w:pPr>
        <w:spacing w:line="440" w:lineRule="exact"/>
        <w:rPr>
          <w:rFonts w:hint="eastAsia" w:ascii="仿宋" w:hAnsi="仿宋" w:eastAsia="仿宋"/>
          <w:sz w:val="24"/>
          <w:szCs w:val="28"/>
        </w:rPr>
      </w:pPr>
      <w:r>
        <w:rPr>
          <w:rFonts w:hint="eastAsia" w:ascii="仿宋" w:hAnsi="仿宋" w:eastAsia="仿宋"/>
          <w:sz w:val="24"/>
          <w:szCs w:val="28"/>
        </w:rPr>
        <w:t>日    期：</w:t>
      </w:r>
      <w:r>
        <w:rPr>
          <w:rFonts w:hint="eastAsia" w:ascii="仿宋" w:hAnsi="仿宋" w:eastAsia="仿宋"/>
          <w:sz w:val="24"/>
          <w:szCs w:val="28"/>
          <w:u w:val="single"/>
        </w:rPr>
        <w:t xml:space="preserve">      </w:t>
      </w:r>
      <w:r>
        <w:rPr>
          <w:rFonts w:hint="eastAsia" w:ascii="仿宋" w:hAnsi="仿宋" w:eastAsia="仿宋"/>
          <w:sz w:val="24"/>
          <w:szCs w:val="28"/>
        </w:rPr>
        <w:t>年</w:t>
      </w:r>
      <w:r>
        <w:rPr>
          <w:rFonts w:hint="eastAsia" w:ascii="仿宋" w:hAnsi="仿宋" w:eastAsia="仿宋"/>
          <w:sz w:val="24"/>
          <w:szCs w:val="28"/>
          <w:u w:val="single"/>
        </w:rPr>
        <w:t xml:space="preserve">      </w:t>
      </w:r>
      <w:r>
        <w:rPr>
          <w:rFonts w:hint="eastAsia" w:ascii="仿宋" w:hAnsi="仿宋" w:eastAsia="仿宋"/>
          <w:sz w:val="24"/>
          <w:szCs w:val="28"/>
        </w:rPr>
        <w:t>月</w:t>
      </w:r>
      <w:r>
        <w:rPr>
          <w:rFonts w:hint="eastAsia" w:ascii="仿宋" w:hAnsi="仿宋" w:eastAsia="仿宋"/>
          <w:sz w:val="24"/>
          <w:szCs w:val="28"/>
          <w:u w:val="single"/>
        </w:rPr>
        <w:t xml:space="preserve">      </w:t>
      </w:r>
      <w:r>
        <w:rPr>
          <w:rFonts w:hint="eastAsia" w:ascii="仿宋" w:hAnsi="仿宋" w:eastAsia="仿宋"/>
          <w:sz w:val="24"/>
          <w:szCs w:val="28"/>
        </w:rPr>
        <w:t>日</w:t>
      </w:r>
    </w:p>
    <w:p w14:paraId="6F4031BD">
      <w:pPr>
        <w:spacing w:line="440" w:lineRule="exact"/>
        <w:rPr>
          <w:rFonts w:hint="eastAsia" w:ascii="仿宋" w:hAnsi="仿宋" w:eastAsia="仿宋"/>
          <w:sz w:val="24"/>
          <w:szCs w:val="28"/>
        </w:rPr>
      </w:pPr>
    </w:p>
    <w:p w14:paraId="0CC11826">
      <w:pPr>
        <w:widowControl/>
        <w:jc w:val="left"/>
        <w:rPr>
          <w:rFonts w:hint="eastAsia" w:ascii="仿宋" w:hAnsi="仿宋" w:eastAsia="仿宋"/>
          <w:sz w:val="24"/>
          <w:szCs w:val="28"/>
        </w:rPr>
      </w:pPr>
      <w:r>
        <w:rPr>
          <w:rFonts w:hint="eastAsia" w:ascii="仿宋" w:hAnsi="仿宋" w:eastAsia="仿宋"/>
          <w:sz w:val="24"/>
          <w:szCs w:val="28"/>
        </w:rPr>
        <w:br w:type="page"/>
      </w:r>
    </w:p>
    <w:p w14:paraId="66C82047">
      <w:pPr>
        <w:spacing w:line="440" w:lineRule="exact"/>
        <w:rPr>
          <w:rFonts w:hint="eastAsia"/>
          <w:sz w:val="24"/>
          <w:szCs w:val="28"/>
        </w:rPr>
      </w:pPr>
      <w:r>
        <w:rPr>
          <w:rFonts w:hint="eastAsia"/>
          <w:sz w:val="24"/>
          <w:szCs w:val="28"/>
        </w:rPr>
        <w:t>附件</w:t>
      </w:r>
      <w:r>
        <w:rPr>
          <w:sz w:val="24"/>
          <w:szCs w:val="28"/>
        </w:rPr>
        <w:t>3</w:t>
      </w:r>
    </w:p>
    <w:p w14:paraId="268B1FA8">
      <w:pPr>
        <w:spacing w:line="440" w:lineRule="exact"/>
        <w:rPr>
          <w:rFonts w:hint="eastAsia"/>
          <w:b/>
          <w:bCs/>
          <w:sz w:val="24"/>
          <w:szCs w:val="28"/>
        </w:rPr>
      </w:pPr>
    </w:p>
    <w:p w14:paraId="424A3E08">
      <w:pPr>
        <w:spacing w:line="440" w:lineRule="exact"/>
        <w:jc w:val="center"/>
        <w:rPr>
          <w:rFonts w:hint="eastAsia"/>
          <w:sz w:val="24"/>
          <w:szCs w:val="28"/>
        </w:rPr>
      </w:pPr>
      <w:r>
        <w:rPr>
          <w:rFonts w:hint="eastAsia"/>
          <w:b/>
          <w:bCs/>
          <w:sz w:val="24"/>
          <w:szCs w:val="28"/>
        </w:rPr>
        <w:t>服务方案及承诺（格式可自拟）</w:t>
      </w:r>
    </w:p>
    <w:p w14:paraId="353A961E">
      <w:pPr>
        <w:spacing w:line="440" w:lineRule="exact"/>
        <w:rPr>
          <w:rFonts w:hint="eastAsia"/>
          <w:b/>
          <w:bCs/>
          <w:sz w:val="24"/>
          <w:szCs w:val="28"/>
        </w:rPr>
      </w:pPr>
    </w:p>
    <w:p w14:paraId="239DD53E">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请供应商提供完整的项目方案及相应实施计划等，并提供完整的实施过程中的配合服务方案。</w:t>
      </w:r>
    </w:p>
    <w:p w14:paraId="790A64EA">
      <w:pPr>
        <w:spacing w:line="440" w:lineRule="exact"/>
        <w:rPr>
          <w:rFonts w:hint="eastAsia" w:ascii="仿宋" w:hAnsi="仿宋" w:eastAsia="仿宋"/>
          <w:sz w:val="24"/>
          <w:szCs w:val="28"/>
        </w:rPr>
      </w:pPr>
    </w:p>
    <w:p w14:paraId="1ECE6A75">
      <w:pPr>
        <w:spacing w:line="440" w:lineRule="exact"/>
        <w:rPr>
          <w:rFonts w:hint="eastAsia" w:ascii="仿宋" w:hAnsi="仿宋" w:eastAsia="仿宋"/>
          <w:sz w:val="24"/>
          <w:szCs w:val="28"/>
        </w:rPr>
      </w:pPr>
    </w:p>
    <w:p w14:paraId="6FD6D14F">
      <w:pPr>
        <w:spacing w:line="440" w:lineRule="exact"/>
        <w:rPr>
          <w:rFonts w:hint="eastAsia" w:ascii="仿宋" w:hAnsi="仿宋" w:eastAsia="仿宋"/>
          <w:sz w:val="24"/>
          <w:szCs w:val="28"/>
        </w:rPr>
      </w:pPr>
    </w:p>
    <w:p w14:paraId="1F28B67E">
      <w:pPr>
        <w:spacing w:line="440" w:lineRule="exact"/>
        <w:rPr>
          <w:rFonts w:hint="eastAsia" w:ascii="仿宋" w:hAnsi="仿宋" w:eastAsia="仿宋"/>
          <w:sz w:val="24"/>
          <w:szCs w:val="28"/>
        </w:rPr>
      </w:pPr>
    </w:p>
    <w:p w14:paraId="77EDBDBC">
      <w:pPr>
        <w:spacing w:line="440" w:lineRule="exact"/>
        <w:rPr>
          <w:rFonts w:hint="eastAsia" w:ascii="仿宋" w:hAnsi="仿宋" w:eastAsia="仿宋"/>
          <w:sz w:val="24"/>
          <w:szCs w:val="28"/>
        </w:rPr>
      </w:pPr>
      <w:r>
        <w:rPr>
          <w:rFonts w:hint="eastAsia" w:ascii="仿宋" w:hAnsi="仿宋" w:eastAsia="仿宋"/>
          <w:sz w:val="24"/>
          <w:szCs w:val="28"/>
        </w:rPr>
        <w:t>承诺内容应包括：</w:t>
      </w:r>
    </w:p>
    <w:p w14:paraId="7694DDD0">
      <w:pPr>
        <w:spacing w:line="440" w:lineRule="exact"/>
        <w:rPr>
          <w:rFonts w:hint="eastAsia" w:ascii="仿宋" w:hAnsi="仿宋" w:eastAsia="仿宋"/>
          <w:sz w:val="24"/>
          <w:szCs w:val="28"/>
        </w:rPr>
      </w:pPr>
      <w:r>
        <w:rPr>
          <w:rFonts w:ascii="仿宋" w:hAnsi="仿宋" w:eastAsia="仿宋"/>
          <w:sz w:val="24"/>
          <w:szCs w:val="28"/>
        </w:rPr>
        <w:t>1</w:t>
      </w:r>
      <w:r>
        <w:rPr>
          <w:rFonts w:hint="eastAsia" w:ascii="仿宋" w:hAnsi="仿宋" w:eastAsia="仿宋"/>
          <w:sz w:val="24"/>
          <w:szCs w:val="28"/>
        </w:rPr>
        <w:t>、服务时间、质量承诺</w:t>
      </w:r>
    </w:p>
    <w:p w14:paraId="480E72F7">
      <w:pPr>
        <w:spacing w:line="440" w:lineRule="exact"/>
        <w:rPr>
          <w:rFonts w:hint="eastAsia" w:ascii="仿宋" w:hAnsi="仿宋" w:eastAsia="仿宋"/>
          <w:sz w:val="24"/>
          <w:szCs w:val="28"/>
        </w:rPr>
      </w:pPr>
      <w:r>
        <w:rPr>
          <w:rFonts w:ascii="仿宋" w:hAnsi="仿宋" w:eastAsia="仿宋"/>
          <w:sz w:val="24"/>
          <w:szCs w:val="28"/>
        </w:rPr>
        <w:t>2</w:t>
      </w:r>
      <w:r>
        <w:rPr>
          <w:rFonts w:hint="eastAsia" w:ascii="仿宋" w:hAnsi="仿宋" w:eastAsia="仿宋"/>
          <w:sz w:val="24"/>
          <w:szCs w:val="28"/>
        </w:rPr>
        <w:t>、本项目验收时应达到的效果和指标；</w:t>
      </w:r>
    </w:p>
    <w:p w14:paraId="6D5D580D">
      <w:pPr>
        <w:spacing w:line="440" w:lineRule="exact"/>
        <w:rPr>
          <w:rFonts w:hint="eastAsia" w:ascii="仿宋" w:hAnsi="仿宋" w:eastAsia="仿宋"/>
          <w:sz w:val="24"/>
          <w:szCs w:val="28"/>
        </w:rPr>
      </w:pPr>
      <w:r>
        <w:rPr>
          <w:rFonts w:ascii="仿宋" w:hAnsi="仿宋" w:eastAsia="仿宋"/>
          <w:sz w:val="24"/>
          <w:szCs w:val="28"/>
        </w:rPr>
        <w:t>3</w:t>
      </w:r>
      <w:r>
        <w:rPr>
          <w:rFonts w:hint="eastAsia" w:ascii="仿宋" w:hAnsi="仿宋" w:eastAsia="仿宋"/>
          <w:sz w:val="24"/>
          <w:szCs w:val="28"/>
        </w:rPr>
        <w:t>、其他。</w:t>
      </w:r>
    </w:p>
    <w:p w14:paraId="3107E143">
      <w:pPr>
        <w:spacing w:line="440" w:lineRule="exact"/>
        <w:rPr>
          <w:rFonts w:hint="eastAsia"/>
          <w:sz w:val="24"/>
          <w:szCs w:val="28"/>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659889B">
      <w:pPr>
        <w:spacing w:line="440" w:lineRule="exact"/>
        <w:rPr>
          <w:rFonts w:hint="eastAsia"/>
          <w:sz w:val="24"/>
          <w:szCs w:val="28"/>
        </w:rPr>
      </w:pPr>
      <w:r>
        <w:rPr>
          <w:rFonts w:hint="eastAsia"/>
          <w:sz w:val="24"/>
          <w:szCs w:val="28"/>
        </w:rPr>
        <w:t>附件</w:t>
      </w:r>
      <w:r>
        <w:rPr>
          <w:sz w:val="24"/>
          <w:szCs w:val="28"/>
        </w:rPr>
        <w:t>4</w:t>
      </w:r>
    </w:p>
    <w:p w14:paraId="03DA5DCE">
      <w:pPr>
        <w:spacing w:line="440" w:lineRule="exact"/>
        <w:rPr>
          <w:rFonts w:hint="eastAsia"/>
          <w:sz w:val="24"/>
          <w:szCs w:val="28"/>
        </w:rPr>
      </w:pPr>
    </w:p>
    <w:p w14:paraId="6B4D63DA">
      <w:pPr>
        <w:spacing w:line="440" w:lineRule="exact"/>
        <w:jc w:val="center"/>
        <w:rPr>
          <w:rFonts w:hint="eastAsia"/>
          <w:b/>
          <w:bCs/>
          <w:sz w:val="24"/>
          <w:szCs w:val="28"/>
        </w:rPr>
      </w:pPr>
      <w:r>
        <w:rPr>
          <w:rFonts w:hint="eastAsia"/>
          <w:b/>
          <w:bCs/>
          <w:sz w:val="24"/>
          <w:szCs w:val="28"/>
        </w:rPr>
        <w:t>报价企业概况（格式可自拟）</w:t>
      </w:r>
    </w:p>
    <w:p w14:paraId="12FC8EFF">
      <w:pPr>
        <w:spacing w:line="440" w:lineRule="exact"/>
        <w:rPr>
          <w:rFonts w:hint="eastAsia"/>
          <w:b/>
          <w:bCs/>
          <w:sz w:val="24"/>
          <w:szCs w:val="28"/>
        </w:rPr>
      </w:pPr>
    </w:p>
    <w:p w14:paraId="7E067638">
      <w:pPr>
        <w:spacing w:line="440" w:lineRule="exact"/>
        <w:rPr>
          <w:rFonts w:hint="eastAsia"/>
          <w:b/>
          <w:bCs/>
          <w:sz w:val="24"/>
          <w:szCs w:val="28"/>
        </w:rPr>
      </w:pPr>
    </w:p>
    <w:p w14:paraId="58F23B47">
      <w:pPr>
        <w:spacing w:line="440" w:lineRule="exact"/>
        <w:rPr>
          <w:rFonts w:hint="eastAsia"/>
          <w:b/>
          <w:bCs/>
          <w:sz w:val="24"/>
          <w:szCs w:val="28"/>
        </w:rPr>
      </w:pPr>
    </w:p>
    <w:p w14:paraId="5FD8F339">
      <w:pPr>
        <w:spacing w:line="440" w:lineRule="exact"/>
        <w:rPr>
          <w:rFonts w:hint="eastAsia"/>
          <w:sz w:val="24"/>
          <w:szCs w:val="28"/>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20F7C925">
      <w:pPr>
        <w:spacing w:line="440" w:lineRule="exact"/>
        <w:rPr>
          <w:rFonts w:hint="eastAsia"/>
          <w:sz w:val="24"/>
          <w:szCs w:val="28"/>
        </w:rPr>
      </w:pPr>
      <w:r>
        <w:rPr>
          <w:rFonts w:hint="eastAsia"/>
          <w:sz w:val="24"/>
          <w:szCs w:val="28"/>
        </w:rPr>
        <w:t>附件</w:t>
      </w:r>
      <w:r>
        <w:rPr>
          <w:sz w:val="24"/>
          <w:szCs w:val="28"/>
        </w:rPr>
        <w:t>5</w:t>
      </w:r>
    </w:p>
    <w:p w14:paraId="5CEC5872">
      <w:pPr>
        <w:spacing w:line="440" w:lineRule="exact"/>
        <w:jc w:val="center"/>
        <w:rPr>
          <w:rFonts w:hint="eastAsia"/>
          <w:b/>
          <w:bCs/>
          <w:sz w:val="24"/>
          <w:szCs w:val="28"/>
        </w:rPr>
      </w:pPr>
      <w:r>
        <w:rPr>
          <w:rFonts w:hint="eastAsia"/>
          <w:b/>
          <w:bCs/>
          <w:sz w:val="24"/>
          <w:szCs w:val="28"/>
        </w:rPr>
        <w:t>资格证明文件</w:t>
      </w:r>
    </w:p>
    <w:p w14:paraId="7209FC9B">
      <w:pPr>
        <w:numPr>
          <w:ilvl w:val="0"/>
          <w:numId w:val="2"/>
        </w:numPr>
        <w:spacing w:line="440" w:lineRule="exact"/>
        <w:rPr>
          <w:rFonts w:hint="eastAsia" w:ascii="仿宋" w:hAnsi="仿宋" w:eastAsia="仿宋"/>
          <w:sz w:val="24"/>
          <w:szCs w:val="28"/>
        </w:rPr>
      </w:pPr>
      <w:r>
        <w:rPr>
          <w:rFonts w:hint="eastAsia" w:ascii="仿宋" w:hAnsi="仿宋" w:eastAsia="仿宋"/>
          <w:sz w:val="24"/>
          <w:szCs w:val="28"/>
        </w:rPr>
        <w:t>企业营业执照（复印件）</w:t>
      </w:r>
    </w:p>
    <w:p w14:paraId="042CB56E">
      <w:pPr>
        <w:numPr>
          <w:ilvl w:val="0"/>
          <w:numId w:val="2"/>
        </w:numPr>
        <w:spacing w:line="440" w:lineRule="exact"/>
        <w:rPr>
          <w:rFonts w:hint="eastAsia" w:ascii="仿宋" w:hAnsi="仿宋" w:eastAsia="仿宋"/>
          <w:sz w:val="24"/>
          <w:szCs w:val="28"/>
        </w:rPr>
      </w:pPr>
      <w:r>
        <w:rPr>
          <w:rFonts w:hint="eastAsia" w:ascii="仿宋" w:hAnsi="仿宋" w:eastAsia="仿宋"/>
          <w:sz w:val="24"/>
          <w:szCs w:val="28"/>
        </w:rPr>
        <w:t>其他资格证明文件</w:t>
      </w:r>
    </w:p>
    <w:p w14:paraId="4238FED3">
      <w:pPr>
        <w:spacing w:line="440" w:lineRule="exact"/>
        <w:rPr>
          <w:rFonts w:hint="eastAsia" w:ascii="仿宋" w:hAnsi="仿宋" w:eastAsia="仿宋"/>
          <w:sz w:val="24"/>
          <w:szCs w:val="28"/>
        </w:rPr>
      </w:pPr>
      <w:r>
        <w:rPr>
          <w:rFonts w:ascii="仿宋" w:hAnsi="仿宋" w:eastAsia="仿宋"/>
          <w:sz w:val="24"/>
          <w:szCs w:val="28"/>
        </w:rPr>
        <w:tab/>
      </w:r>
      <w:r>
        <w:rPr>
          <w:rFonts w:hint="eastAsia" w:ascii="仿宋" w:hAnsi="仿宋" w:eastAsia="仿宋"/>
          <w:sz w:val="24"/>
          <w:szCs w:val="28"/>
        </w:rPr>
        <w:t>……</w:t>
      </w:r>
    </w:p>
    <w:p w14:paraId="1F94B188">
      <w:pPr>
        <w:spacing w:line="440" w:lineRule="exact"/>
        <w:rPr>
          <w:rFonts w:hint="eastAsia" w:ascii="仿宋" w:hAnsi="仿宋" w:eastAsia="仿宋"/>
          <w:sz w:val="24"/>
          <w:szCs w:val="28"/>
        </w:rPr>
      </w:pPr>
    </w:p>
    <w:p w14:paraId="266B6FD2">
      <w:pPr>
        <w:spacing w:line="440" w:lineRule="exact"/>
        <w:rPr>
          <w:rFonts w:hint="eastAsia" w:ascii="仿宋" w:hAnsi="仿宋" w:eastAsia="仿宋"/>
          <w:b/>
          <w:bCs/>
          <w:sz w:val="24"/>
          <w:szCs w:val="28"/>
        </w:rPr>
      </w:pPr>
      <w:r>
        <w:rPr>
          <w:rFonts w:hint="eastAsia" w:ascii="仿宋" w:hAnsi="仿宋" w:eastAsia="仿宋"/>
          <w:b/>
          <w:bCs/>
          <w:sz w:val="24"/>
          <w:szCs w:val="28"/>
        </w:rPr>
        <w:t>注意：</w:t>
      </w:r>
    </w:p>
    <w:p w14:paraId="02AD94B9">
      <w:pPr>
        <w:spacing w:line="440" w:lineRule="exact"/>
        <w:rPr>
          <w:rFonts w:hint="eastAsia" w:ascii="仿宋" w:hAnsi="仿宋" w:eastAsia="仿宋"/>
          <w:sz w:val="24"/>
          <w:szCs w:val="28"/>
        </w:rPr>
      </w:pPr>
      <w:r>
        <w:rPr>
          <w:rFonts w:ascii="仿宋" w:hAnsi="仿宋" w:eastAsia="仿宋"/>
          <w:sz w:val="24"/>
          <w:szCs w:val="28"/>
        </w:rPr>
        <w:t>1.</w:t>
      </w:r>
      <w:r>
        <w:rPr>
          <w:rFonts w:hint="eastAsia" w:ascii="仿宋" w:hAnsi="仿宋" w:eastAsia="仿宋"/>
          <w:sz w:val="24"/>
          <w:szCs w:val="28"/>
        </w:rPr>
        <w:t>报价供应商应提交相关证明文件，以及提供其他有关资料。</w:t>
      </w:r>
    </w:p>
    <w:p w14:paraId="582F30FB">
      <w:pPr>
        <w:spacing w:line="440" w:lineRule="exact"/>
        <w:rPr>
          <w:rFonts w:hint="eastAsia" w:ascii="仿宋" w:hAnsi="仿宋" w:eastAsia="仿宋"/>
          <w:sz w:val="24"/>
          <w:szCs w:val="28"/>
        </w:rPr>
      </w:pPr>
      <w:r>
        <w:rPr>
          <w:rFonts w:ascii="仿宋" w:hAnsi="仿宋" w:eastAsia="仿宋"/>
          <w:sz w:val="24"/>
          <w:szCs w:val="28"/>
        </w:rPr>
        <w:t>2.</w:t>
      </w:r>
      <w:r>
        <w:rPr>
          <w:rFonts w:hint="eastAsia" w:ascii="仿宋" w:hAnsi="仿宋" w:eastAsia="仿宋"/>
          <w:sz w:val="24"/>
          <w:szCs w:val="28"/>
        </w:rPr>
        <w:t>报价供应商提供的资格文件将由采购人及买方使用，并据此进行评价和判断，确定比价供应商的资格和履约能力。</w:t>
      </w:r>
    </w:p>
    <w:p w14:paraId="2576FABC">
      <w:pPr>
        <w:spacing w:line="440" w:lineRule="exact"/>
        <w:rPr>
          <w:rFonts w:hint="eastAsia" w:ascii="仿宋" w:hAnsi="仿宋" w:eastAsia="仿宋"/>
          <w:sz w:val="24"/>
          <w:szCs w:val="28"/>
        </w:rPr>
      </w:pPr>
      <w:r>
        <w:rPr>
          <w:rFonts w:ascii="仿宋" w:hAnsi="仿宋" w:eastAsia="仿宋"/>
          <w:sz w:val="24"/>
          <w:szCs w:val="28"/>
        </w:rPr>
        <w:t>3.</w:t>
      </w:r>
      <w:r>
        <w:rPr>
          <w:rFonts w:hint="eastAsia" w:ascii="仿宋" w:hAnsi="仿宋" w:eastAsia="仿宋"/>
          <w:sz w:val="24"/>
          <w:szCs w:val="28"/>
        </w:rPr>
        <w:t>报价供应商提交的文件将给予保密，但不退还。</w:t>
      </w:r>
    </w:p>
    <w:p w14:paraId="607DB7D7">
      <w:pPr>
        <w:spacing w:line="440" w:lineRule="exact"/>
        <w:rPr>
          <w:rFonts w:hint="eastAsia"/>
          <w:sz w:val="24"/>
          <w:szCs w:val="28"/>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5202A020">
      <w:pPr>
        <w:spacing w:line="440" w:lineRule="exact"/>
        <w:rPr>
          <w:rFonts w:hint="eastAsia"/>
          <w:sz w:val="24"/>
          <w:szCs w:val="28"/>
        </w:rPr>
      </w:pPr>
      <w:r>
        <w:rPr>
          <w:rFonts w:hint="eastAsia"/>
          <w:sz w:val="24"/>
          <w:szCs w:val="28"/>
        </w:rPr>
        <w:t>附件</w:t>
      </w:r>
      <w:r>
        <w:rPr>
          <w:sz w:val="24"/>
          <w:szCs w:val="28"/>
        </w:rPr>
        <w:t>6</w:t>
      </w:r>
    </w:p>
    <w:p w14:paraId="49C5D07A">
      <w:pPr>
        <w:spacing w:line="440" w:lineRule="exact"/>
        <w:rPr>
          <w:rFonts w:hint="eastAsia"/>
          <w:b/>
          <w:sz w:val="24"/>
          <w:szCs w:val="28"/>
        </w:rPr>
      </w:pPr>
    </w:p>
    <w:p w14:paraId="44DBC4E4">
      <w:pPr>
        <w:spacing w:line="440" w:lineRule="exact"/>
        <w:jc w:val="center"/>
        <w:rPr>
          <w:rFonts w:hint="eastAsia"/>
          <w:sz w:val="24"/>
          <w:szCs w:val="28"/>
        </w:rPr>
      </w:pPr>
      <w:r>
        <w:rPr>
          <w:rFonts w:hint="eastAsia"/>
          <w:b/>
          <w:sz w:val="24"/>
          <w:szCs w:val="28"/>
        </w:rPr>
        <w:t>项目业绩表</w:t>
      </w:r>
      <w:r>
        <w:rPr>
          <w:rFonts w:hint="eastAsia"/>
          <w:b/>
          <w:bCs/>
          <w:sz w:val="24"/>
          <w:szCs w:val="28"/>
        </w:rPr>
        <w:t>（格式可拟定）</w:t>
      </w:r>
    </w:p>
    <w:p w14:paraId="3E1D403C">
      <w:pPr>
        <w:spacing w:line="440" w:lineRule="exact"/>
        <w:rPr>
          <w:rFonts w:hint="eastAsia"/>
          <w:bCs/>
          <w:sz w:val="24"/>
          <w:szCs w:val="28"/>
        </w:rPr>
      </w:pPr>
    </w:p>
    <w:tbl>
      <w:tblPr>
        <w:tblStyle w:val="20"/>
        <w:tblW w:w="5000" w:type="pct"/>
        <w:tblInd w:w="0" w:type="dxa"/>
        <w:tblLayout w:type="autofit"/>
        <w:tblCellMar>
          <w:top w:w="0" w:type="dxa"/>
          <w:left w:w="30" w:type="dxa"/>
          <w:bottom w:w="0" w:type="dxa"/>
          <w:right w:w="30" w:type="dxa"/>
        </w:tblCellMar>
      </w:tblPr>
      <w:tblGrid>
        <w:gridCol w:w="782"/>
        <w:gridCol w:w="1996"/>
        <w:gridCol w:w="3330"/>
        <w:gridCol w:w="1425"/>
        <w:gridCol w:w="1425"/>
      </w:tblGrid>
      <w:tr w14:paraId="7D304CFA">
        <w:tblPrEx>
          <w:tblCellMar>
            <w:top w:w="0" w:type="dxa"/>
            <w:left w:w="30" w:type="dxa"/>
            <w:bottom w:w="0" w:type="dxa"/>
            <w:right w:w="30" w:type="dxa"/>
          </w:tblCellMar>
        </w:tblPrEx>
        <w:trPr>
          <w:trHeight w:val="760" w:hRule="exact"/>
        </w:trPr>
        <w:tc>
          <w:tcPr>
            <w:tcW w:w="437" w:type="pct"/>
            <w:tcBorders>
              <w:top w:val="single" w:color="auto" w:sz="12" w:space="0"/>
              <w:left w:val="single" w:color="auto" w:sz="12" w:space="0"/>
              <w:bottom w:val="single" w:color="auto" w:sz="12" w:space="0"/>
              <w:right w:val="single" w:color="auto" w:sz="6" w:space="0"/>
            </w:tcBorders>
            <w:vAlign w:val="center"/>
          </w:tcPr>
          <w:p w14:paraId="03361CBC">
            <w:pPr>
              <w:spacing w:line="440" w:lineRule="exact"/>
              <w:jc w:val="center"/>
              <w:rPr>
                <w:rFonts w:hint="eastAsia" w:ascii="仿宋" w:hAnsi="仿宋" w:eastAsia="仿宋"/>
                <w:bCs/>
                <w:sz w:val="24"/>
                <w:szCs w:val="28"/>
              </w:rPr>
            </w:pPr>
            <w:r>
              <w:rPr>
                <w:rFonts w:hint="eastAsia" w:ascii="仿宋" w:hAnsi="仿宋" w:eastAsia="仿宋"/>
                <w:bCs/>
                <w:sz w:val="24"/>
                <w:szCs w:val="28"/>
              </w:rPr>
              <w:t>序号</w:t>
            </w:r>
          </w:p>
        </w:tc>
        <w:tc>
          <w:tcPr>
            <w:tcW w:w="1114" w:type="pct"/>
            <w:tcBorders>
              <w:top w:val="single" w:color="auto" w:sz="12" w:space="0"/>
              <w:left w:val="single" w:color="auto" w:sz="6" w:space="0"/>
              <w:bottom w:val="single" w:color="auto" w:sz="12" w:space="0"/>
              <w:right w:val="single" w:color="auto" w:sz="6" w:space="0"/>
            </w:tcBorders>
            <w:vAlign w:val="center"/>
          </w:tcPr>
          <w:p w14:paraId="4DF91118">
            <w:pPr>
              <w:spacing w:line="440" w:lineRule="exact"/>
              <w:jc w:val="center"/>
              <w:rPr>
                <w:rFonts w:hint="eastAsia" w:ascii="仿宋" w:hAnsi="仿宋" w:eastAsia="仿宋"/>
                <w:bCs/>
                <w:sz w:val="24"/>
                <w:szCs w:val="28"/>
              </w:rPr>
            </w:pPr>
            <w:r>
              <w:rPr>
                <w:rFonts w:hint="eastAsia" w:ascii="仿宋" w:hAnsi="仿宋" w:eastAsia="仿宋"/>
                <w:bCs/>
                <w:sz w:val="24"/>
                <w:szCs w:val="28"/>
              </w:rPr>
              <w:t>业主名称</w:t>
            </w:r>
          </w:p>
        </w:tc>
        <w:tc>
          <w:tcPr>
            <w:tcW w:w="1858" w:type="pct"/>
            <w:tcBorders>
              <w:top w:val="single" w:color="auto" w:sz="12" w:space="0"/>
              <w:left w:val="single" w:color="auto" w:sz="6" w:space="0"/>
              <w:bottom w:val="single" w:color="auto" w:sz="12" w:space="0"/>
              <w:right w:val="single" w:color="auto" w:sz="4" w:space="0"/>
            </w:tcBorders>
            <w:vAlign w:val="center"/>
          </w:tcPr>
          <w:p w14:paraId="6711936B">
            <w:pPr>
              <w:spacing w:line="440" w:lineRule="exact"/>
              <w:jc w:val="center"/>
              <w:rPr>
                <w:rFonts w:hint="eastAsia" w:ascii="仿宋" w:hAnsi="仿宋" w:eastAsia="仿宋"/>
                <w:bCs/>
                <w:sz w:val="24"/>
                <w:szCs w:val="28"/>
              </w:rPr>
            </w:pPr>
            <w:r>
              <w:rPr>
                <w:rFonts w:hint="eastAsia" w:ascii="仿宋" w:hAnsi="仿宋" w:eastAsia="仿宋"/>
                <w:bCs/>
                <w:sz w:val="24"/>
                <w:szCs w:val="28"/>
              </w:rPr>
              <w:t>相关业绩</w:t>
            </w:r>
          </w:p>
        </w:tc>
        <w:tc>
          <w:tcPr>
            <w:tcW w:w="795" w:type="pct"/>
            <w:tcBorders>
              <w:top w:val="single" w:color="auto" w:sz="12" w:space="0"/>
              <w:left w:val="single" w:color="auto" w:sz="4" w:space="0"/>
              <w:bottom w:val="single" w:color="auto" w:sz="12" w:space="0"/>
              <w:right w:val="single" w:color="auto" w:sz="4" w:space="0"/>
            </w:tcBorders>
            <w:vAlign w:val="center"/>
          </w:tcPr>
          <w:p w14:paraId="28516E94">
            <w:pPr>
              <w:spacing w:line="440" w:lineRule="exact"/>
              <w:jc w:val="center"/>
              <w:rPr>
                <w:rFonts w:hint="eastAsia" w:ascii="仿宋" w:hAnsi="仿宋" w:eastAsia="仿宋"/>
                <w:bCs/>
                <w:sz w:val="24"/>
                <w:szCs w:val="28"/>
              </w:rPr>
            </w:pPr>
            <w:r>
              <w:rPr>
                <w:rFonts w:hint="eastAsia" w:ascii="仿宋" w:hAnsi="仿宋" w:eastAsia="仿宋"/>
                <w:bCs/>
                <w:sz w:val="24"/>
                <w:szCs w:val="28"/>
              </w:rPr>
              <w:t>业绩时间</w:t>
            </w:r>
          </w:p>
        </w:tc>
        <w:tc>
          <w:tcPr>
            <w:tcW w:w="795" w:type="pct"/>
            <w:tcBorders>
              <w:top w:val="single" w:color="auto" w:sz="12" w:space="0"/>
              <w:left w:val="single" w:color="auto" w:sz="4" w:space="0"/>
              <w:bottom w:val="single" w:color="auto" w:sz="12" w:space="0"/>
              <w:right w:val="single" w:color="auto" w:sz="12" w:space="0"/>
            </w:tcBorders>
            <w:vAlign w:val="center"/>
          </w:tcPr>
          <w:p w14:paraId="570BDD29">
            <w:pPr>
              <w:spacing w:line="440" w:lineRule="exact"/>
              <w:jc w:val="center"/>
              <w:rPr>
                <w:rFonts w:hint="eastAsia" w:ascii="仿宋" w:hAnsi="仿宋" w:eastAsia="仿宋"/>
                <w:bCs/>
                <w:sz w:val="24"/>
                <w:szCs w:val="28"/>
              </w:rPr>
            </w:pPr>
            <w:r>
              <w:rPr>
                <w:rFonts w:hint="eastAsia" w:ascii="仿宋" w:hAnsi="仿宋" w:eastAsia="仿宋"/>
                <w:bCs/>
                <w:sz w:val="24"/>
                <w:szCs w:val="28"/>
              </w:rPr>
              <w:t>备注</w:t>
            </w:r>
          </w:p>
        </w:tc>
      </w:tr>
      <w:tr w14:paraId="5C2B546A">
        <w:tblPrEx>
          <w:tblCellMar>
            <w:top w:w="0" w:type="dxa"/>
            <w:left w:w="30" w:type="dxa"/>
            <w:bottom w:w="0" w:type="dxa"/>
            <w:right w:w="30" w:type="dxa"/>
          </w:tblCellMar>
        </w:tblPrEx>
        <w:trPr>
          <w:trHeight w:val="567" w:hRule="exact"/>
        </w:trPr>
        <w:tc>
          <w:tcPr>
            <w:tcW w:w="437" w:type="pct"/>
            <w:tcBorders>
              <w:top w:val="single" w:color="auto" w:sz="12" w:space="0"/>
              <w:left w:val="single" w:color="auto" w:sz="12" w:space="0"/>
              <w:bottom w:val="single" w:color="auto" w:sz="6" w:space="0"/>
              <w:right w:val="single" w:color="auto" w:sz="6" w:space="0"/>
            </w:tcBorders>
            <w:vAlign w:val="center"/>
          </w:tcPr>
          <w:p w14:paraId="4105FFEB">
            <w:pPr>
              <w:spacing w:line="440" w:lineRule="exact"/>
              <w:rPr>
                <w:rFonts w:hint="eastAsia" w:ascii="仿宋" w:hAnsi="仿宋" w:eastAsia="仿宋"/>
                <w:bCs/>
                <w:sz w:val="24"/>
                <w:szCs w:val="28"/>
              </w:rPr>
            </w:pPr>
          </w:p>
        </w:tc>
        <w:tc>
          <w:tcPr>
            <w:tcW w:w="1114" w:type="pct"/>
            <w:tcBorders>
              <w:top w:val="single" w:color="auto" w:sz="12" w:space="0"/>
              <w:left w:val="single" w:color="auto" w:sz="6" w:space="0"/>
              <w:bottom w:val="single" w:color="auto" w:sz="6" w:space="0"/>
              <w:right w:val="single" w:color="auto" w:sz="6" w:space="0"/>
            </w:tcBorders>
            <w:vAlign w:val="center"/>
          </w:tcPr>
          <w:p w14:paraId="1E379FD5">
            <w:pPr>
              <w:spacing w:line="440" w:lineRule="exact"/>
              <w:rPr>
                <w:rFonts w:hint="eastAsia" w:ascii="仿宋" w:hAnsi="仿宋" w:eastAsia="仿宋"/>
                <w:bCs/>
                <w:sz w:val="24"/>
                <w:szCs w:val="28"/>
              </w:rPr>
            </w:pPr>
          </w:p>
        </w:tc>
        <w:tc>
          <w:tcPr>
            <w:tcW w:w="1858" w:type="pct"/>
            <w:tcBorders>
              <w:top w:val="single" w:color="auto" w:sz="12" w:space="0"/>
              <w:left w:val="single" w:color="auto" w:sz="6" w:space="0"/>
              <w:bottom w:val="single" w:color="auto" w:sz="6" w:space="0"/>
              <w:right w:val="single" w:color="auto" w:sz="4" w:space="0"/>
            </w:tcBorders>
            <w:vAlign w:val="center"/>
          </w:tcPr>
          <w:p w14:paraId="56FB7077">
            <w:pPr>
              <w:spacing w:line="440" w:lineRule="exact"/>
              <w:rPr>
                <w:rFonts w:hint="eastAsia" w:ascii="仿宋" w:hAnsi="仿宋" w:eastAsia="仿宋"/>
                <w:bCs/>
                <w:sz w:val="24"/>
                <w:szCs w:val="28"/>
              </w:rPr>
            </w:pPr>
          </w:p>
        </w:tc>
        <w:tc>
          <w:tcPr>
            <w:tcW w:w="795" w:type="pct"/>
            <w:tcBorders>
              <w:top w:val="single" w:color="auto" w:sz="12" w:space="0"/>
              <w:left w:val="single" w:color="auto" w:sz="4" w:space="0"/>
              <w:bottom w:val="single" w:color="auto" w:sz="6" w:space="0"/>
              <w:right w:val="single" w:color="auto" w:sz="4" w:space="0"/>
            </w:tcBorders>
            <w:vAlign w:val="center"/>
          </w:tcPr>
          <w:p w14:paraId="07166704">
            <w:pPr>
              <w:spacing w:line="440" w:lineRule="exact"/>
              <w:rPr>
                <w:rFonts w:hint="eastAsia" w:ascii="仿宋" w:hAnsi="仿宋" w:eastAsia="仿宋"/>
                <w:bCs/>
                <w:sz w:val="24"/>
                <w:szCs w:val="28"/>
              </w:rPr>
            </w:pPr>
          </w:p>
        </w:tc>
        <w:tc>
          <w:tcPr>
            <w:tcW w:w="795" w:type="pct"/>
            <w:tcBorders>
              <w:top w:val="single" w:color="auto" w:sz="12" w:space="0"/>
              <w:left w:val="single" w:color="auto" w:sz="4" w:space="0"/>
              <w:bottom w:val="single" w:color="auto" w:sz="6" w:space="0"/>
              <w:right w:val="single" w:color="auto" w:sz="12" w:space="0"/>
            </w:tcBorders>
            <w:vAlign w:val="center"/>
          </w:tcPr>
          <w:p w14:paraId="017AB982">
            <w:pPr>
              <w:spacing w:line="440" w:lineRule="exact"/>
              <w:rPr>
                <w:rFonts w:hint="eastAsia" w:ascii="仿宋" w:hAnsi="仿宋" w:eastAsia="仿宋"/>
                <w:bCs/>
                <w:sz w:val="24"/>
                <w:szCs w:val="28"/>
              </w:rPr>
            </w:pPr>
          </w:p>
        </w:tc>
      </w:tr>
      <w:tr w14:paraId="0B2D9CC6">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05525C73">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43B162F9">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072EB0F8">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2547CAA6">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4E3610C1">
            <w:pPr>
              <w:spacing w:line="440" w:lineRule="exact"/>
              <w:rPr>
                <w:rFonts w:hint="eastAsia" w:ascii="仿宋" w:hAnsi="仿宋" w:eastAsia="仿宋"/>
                <w:bCs/>
                <w:sz w:val="24"/>
                <w:szCs w:val="28"/>
              </w:rPr>
            </w:pPr>
          </w:p>
        </w:tc>
      </w:tr>
      <w:tr w14:paraId="65413B21">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6FE4178B">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1C681181">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5F744BD1">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0B8D757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4CE0C062">
            <w:pPr>
              <w:spacing w:line="440" w:lineRule="exact"/>
              <w:rPr>
                <w:rFonts w:hint="eastAsia" w:ascii="仿宋" w:hAnsi="仿宋" w:eastAsia="仿宋"/>
                <w:bCs/>
                <w:sz w:val="24"/>
                <w:szCs w:val="28"/>
              </w:rPr>
            </w:pPr>
          </w:p>
        </w:tc>
      </w:tr>
      <w:tr w14:paraId="7A18A6C7">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2863E6D">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4315A27B">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30071C15">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1BCD0B7A">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243E037D">
            <w:pPr>
              <w:spacing w:line="440" w:lineRule="exact"/>
              <w:rPr>
                <w:rFonts w:hint="eastAsia" w:ascii="仿宋" w:hAnsi="仿宋" w:eastAsia="仿宋"/>
                <w:bCs/>
                <w:sz w:val="24"/>
                <w:szCs w:val="28"/>
              </w:rPr>
            </w:pPr>
          </w:p>
        </w:tc>
      </w:tr>
      <w:tr w14:paraId="0F25E6BE">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EC30E5D">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3C0AD92E">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073A99E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6E2FAEE6">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3655A84A">
            <w:pPr>
              <w:spacing w:line="440" w:lineRule="exact"/>
              <w:rPr>
                <w:rFonts w:hint="eastAsia" w:ascii="仿宋" w:hAnsi="仿宋" w:eastAsia="仿宋"/>
                <w:bCs/>
                <w:sz w:val="24"/>
                <w:szCs w:val="28"/>
              </w:rPr>
            </w:pPr>
          </w:p>
        </w:tc>
      </w:tr>
      <w:tr w14:paraId="41477D3E">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3C11C1EB">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1049255F">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612B6E8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5A3CE42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6D0A5ABA">
            <w:pPr>
              <w:spacing w:line="440" w:lineRule="exact"/>
              <w:rPr>
                <w:rFonts w:hint="eastAsia" w:ascii="仿宋" w:hAnsi="仿宋" w:eastAsia="仿宋"/>
                <w:bCs/>
                <w:sz w:val="24"/>
                <w:szCs w:val="28"/>
              </w:rPr>
            </w:pPr>
          </w:p>
        </w:tc>
      </w:tr>
    </w:tbl>
    <w:p w14:paraId="6E9C8E1C">
      <w:pPr>
        <w:spacing w:line="440" w:lineRule="exact"/>
        <w:rPr>
          <w:rFonts w:hint="eastAsia" w:ascii="仿宋" w:hAnsi="仿宋" w:eastAsia="仿宋"/>
          <w:bCs/>
          <w:sz w:val="24"/>
          <w:szCs w:val="28"/>
        </w:rPr>
      </w:pPr>
    </w:p>
    <w:p w14:paraId="0704B92B">
      <w:pPr>
        <w:spacing w:line="440" w:lineRule="exact"/>
        <w:rPr>
          <w:rFonts w:hint="eastAsia" w:ascii="仿宋" w:hAnsi="仿宋" w:eastAsia="仿宋"/>
          <w:bCs/>
          <w:sz w:val="24"/>
          <w:szCs w:val="28"/>
        </w:rPr>
      </w:pPr>
    </w:p>
    <w:p w14:paraId="5B4056CC">
      <w:pPr>
        <w:spacing w:line="440" w:lineRule="exact"/>
        <w:rPr>
          <w:rFonts w:hint="eastAsia" w:ascii="仿宋" w:hAnsi="仿宋" w:eastAsia="仿宋"/>
          <w:bCs/>
          <w:sz w:val="24"/>
          <w:szCs w:val="28"/>
        </w:rPr>
      </w:pPr>
    </w:p>
    <w:p w14:paraId="4E4EC872">
      <w:pPr>
        <w:spacing w:line="440" w:lineRule="exact"/>
        <w:rPr>
          <w:rFonts w:hint="eastAsia" w:ascii="仿宋" w:hAnsi="仿宋" w:eastAsia="仿宋"/>
          <w:bCs/>
          <w:sz w:val="24"/>
          <w:szCs w:val="28"/>
        </w:rPr>
      </w:pPr>
      <w:r>
        <w:rPr>
          <w:rFonts w:hint="eastAsia" w:ascii="仿宋" w:hAnsi="仿宋" w:eastAsia="仿宋"/>
          <w:bCs/>
          <w:sz w:val="24"/>
          <w:szCs w:val="28"/>
        </w:rPr>
        <w:t>报价供应商名称（公章）：</w:t>
      </w:r>
    </w:p>
    <w:p w14:paraId="3F6C8C50">
      <w:pPr>
        <w:spacing w:line="440" w:lineRule="exact"/>
        <w:rPr>
          <w:rFonts w:hint="eastAsia" w:ascii="仿宋" w:hAnsi="仿宋" w:eastAsia="仿宋"/>
          <w:bCs/>
          <w:sz w:val="24"/>
          <w:szCs w:val="28"/>
        </w:rPr>
      </w:pPr>
      <w:r>
        <w:rPr>
          <w:rFonts w:hint="eastAsia" w:ascii="仿宋" w:hAnsi="仿宋" w:eastAsia="仿宋"/>
          <w:bCs/>
          <w:sz w:val="24"/>
          <w:szCs w:val="28"/>
        </w:rPr>
        <w:t>报价供应商法定代表或其授权人：（签字或盖章）</w:t>
      </w:r>
    </w:p>
    <w:p w14:paraId="424FBD2B">
      <w:pPr>
        <w:spacing w:line="440" w:lineRule="exact"/>
        <w:rPr>
          <w:rFonts w:hint="eastAsia" w:ascii="仿宋" w:hAnsi="仿宋" w:eastAsia="仿宋"/>
          <w:sz w:val="24"/>
          <w:szCs w:val="28"/>
        </w:rPr>
      </w:pPr>
    </w:p>
    <w:p w14:paraId="0818E7E0">
      <w:pPr>
        <w:spacing w:line="440" w:lineRule="exact"/>
        <w:rPr>
          <w:rFonts w:hint="eastAsia" w:ascii="仿宋" w:hAnsi="仿宋" w:eastAsia="仿宋"/>
          <w:sz w:val="24"/>
          <w:szCs w:val="28"/>
        </w:rPr>
      </w:pPr>
      <w:r>
        <w:rPr>
          <w:rFonts w:hint="eastAsia" w:ascii="仿宋" w:hAnsi="仿宋" w:eastAsia="仿宋"/>
          <w:sz w:val="24"/>
          <w:szCs w:val="28"/>
        </w:rPr>
        <w:t>日期：</w:t>
      </w:r>
      <w:r>
        <w:rPr>
          <w:rFonts w:ascii="仿宋" w:hAnsi="仿宋" w:eastAsia="仿宋"/>
          <w:sz w:val="24"/>
          <w:szCs w:val="28"/>
        </w:rPr>
        <w:t xml:space="preserve">   </w:t>
      </w:r>
      <w:r>
        <w:rPr>
          <w:rFonts w:hint="eastAsia" w:ascii="仿宋" w:hAnsi="仿宋" w:eastAsia="仿宋"/>
          <w:sz w:val="24"/>
          <w:szCs w:val="28"/>
        </w:rPr>
        <w:t>年</w:t>
      </w:r>
      <w:r>
        <w:rPr>
          <w:rFonts w:ascii="仿宋" w:hAnsi="仿宋" w:eastAsia="仿宋"/>
          <w:sz w:val="24"/>
          <w:szCs w:val="28"/>
        </w:rPr>
        <w:t xml:space="preserve">   </w:t>
      </w:r>
      <w:r>
        <w:rPr>
          <w:rFonts w:hint="eastAsia" w:ascii="仿宋" w:hAnsi="仿宋" w:eastAsia="仿宋"/>
          <w:sz w:val="24"/>
          <w:szCs w:val="28"/>
        </w:rPr>
        <w:t>月</w:t>
      </w:r>
      <w:r>
        <w:rPr>
          <w:rFonts w:ascii="仿宋" w:hAnsi="仿宋" w:eastAsia="仿宋"/>
          <w:sz w:val="24"/>
          <w:szCs w:val="28"/>
        </w:rPr>
        <w:t xml:space="preserve">   </w:t>
      </w:r>
      <w:r>
        <w:rPr>
          <w:rFonts w:hint="eastAsia" w:ascii="仿宋" w:hAnsi="仿宋" w:eastAsia="仿宋"/>
          <w:sz w:val="24"/>
          <w:szCs w:val="28"/>
        </w:rPr>
        <w:t>日</w:t>
      </w:r>
    </w:p>
    <w:p w14:paraId="3E843A44">
      <w:pPr>
        <w:spacing w:line="440" w:lineRule="exact"/>
        <w:rPr>
          <w:rFonts w:hint="eastAsia" w:ascii="仿宋" w:hAnsi="仿宋" w:eastAsia="仿宋"/>
          <w:b/>
          <w:bCs/>
          <w:sz w:val="24"/>
          <w:szCs w:val="28"/>
        </w:rPr>
      </w:pPr>
    </w:p>
    <w:p w14:paraId="71BC1DE3">
      <w:pPr>
        <w:spacing w:line="440" w:lineRule="exact"/>
        <w:rPr>
          <w:rFonts w:hint="eastAsia"/>
          <w:b/>
          <w:bCs/>
          <w:sz w:val="24"/>
          <w:szCs w:val="28"/>
        </w:rPr>
        <w:sectPr>
          <w:pgSz w:w="11906" w:h="16838"/>
          <w:pgMar w:top="1247" w:right="1474" w:bottom="1247" w:left="1474" w:header="851" w:footer="992" w:gutter="0"/>
          <w:pgBorders>
            <w:top w:val="none" w:sz="0" w:space="0"/>
            <w:left w:val="none" w:sz="0" w:space="0"/>
            <w:bottom w:val="none" w:sz="0" w:space="0"/>
            <w:right w:val="none" w:sz="0" w:space="0"/>
          </w:pgBorders>
          <w:cols w:space="720" w:num="1"/>
        </w:sectPr>
      </w:pPr>
    </w:p>
    <w:p w14:paraId="58D38FD7">
      <w:pPr>
        <w:spacing w:line="440" w:lineRule="exact"/>
        <w:rPr>
          <w:rFonts w:hint="eastAsia"/>
          <w:sz w:val="24"/>
          <w:szCs w:val="28"/>
        </w:rPr>
      </w:pPr>
      <w:r>
        <w:rPr>
          <w:rFonts w:hint="eastAsia"/>
          <w:sz w:val="24"/>
          <w:szCs w:val="28"/>
        </w:rPr>
        <w:t>附件</w:t>
      </w:r>
      <w:r>
        <w:rPr>
          <w:sz w:val="24"/>
          <w:szCs w:val="28"/>
        </w:rPr>
        <w:t>7</w:t>
      </w:r>
    </w:p>
    <w:p w14:paraId="4742070B">
      <w:pPr>
        <w:spacing w:line="440" w:lineRule="exact"/>
        <w:rPr>
          <w:rFonts w:hint="eastAsia"/>
          <w:sz w:val="24"/>
          <w:szCs w:val="28"/>
        </w:rPr>
      </w:pPr>
    </w:p>
    <w:p w14:paraId="4B1505F7">
      <w:pPr>
        <w:spacing w:line="440" w:lineRule="exact"/>
        <w:jc w:val="center"/>
        <w:rPr>
          <w:rFonts w:hint="eastAsia"/>
          <w:b/>
          <w:sz w:val="24"/>
          <w:szCs w:val="28"/>
        </w:rPr>
      </w:pPr>
      <w:r>
        <w:rPr>
          <w:rFonts w:hint="eastAsia"/>
          <w:b/>
          <w:sz w:val="24"/>
          <w:szCs w:val="28"/>
        </w:rPr>
        <w:t>参加政府采购活动前</w:t>
      </w:r>
      <w:r>
        <w:rPr>
          <w:b/>
          <w:sz w:val="24"/>
          <w:szCs w:val="28"/>
        </w:rPr>
        <w:t>3</w:t>
      </w:r>
      <w:r>
        <w:rPr>
          <w:rFonts w:hint="eastAsia"/>
          <w:b/>
          <w:sz w:val="24"/>
          <w:szCs w:val="28"/>
        </w:rPr>
        <w:t>年内在经营活动中没有重大违法记录的书面声明</w:t>
      </w:r>
    </w:p>
    <w:p w14:paraId="0092ADD3">
      <w:pPr>
        <w:spacing w:line="440" w:lineRule="exact"/>
        <w:ind w:firstLine="480" w:firstLineChars="200"/>
        <w:rPr>
          <w:rFonts w:hint="eastAsia" w:ascii="仿宋" w:hAnsi="仿宋" w:eastAsia="仿宋"/>
          <w:bCs/>
          <w:sz w:val="24"/>
          <w:szCs w:val="28"/>
        </w:rPr>
      </w:pPr>
      <w:r>
        <w:rPr>
          <w:rFonts w:hint="eastAsia" w:ascii="仿宋" w:hAnsi="仿宋" w:eastAsia="仿宋"/>
          <w:bCs/>
          <w:sz w:val="24"/>
          <w:szCs w:val="28"/>
        </w:rPr>
        <w:t>我单位（投标人名称）近三年内，在参加政府采购活动中没有重大违法记录，特此声明。</w:t>
      </w:r>
    </w:p>
    <w:p w14:paraId="16232A02">
      <w:pPr>
        <w:spacing w:line="440" w:lineRule="exact"/>
        <w:ind w:firstLine="480" w:firstLineChars="200"/>
        <w:rPr>
          <w:rFonts w:hint="eastAsia" w:ascii="仿宋" w:hAnsi="仿宋" w:eastAsia="仿宋"/>
          <w:bCs/>
          <w:sz w:val="24"/>
          <w:szCs w:val="28"/>
        </w:rPr>
      </w:pPr>
      <w:r>
        <w:rPr>
          <w:rFonts w:hint="eastAsia" w:ascii="仿宋" w:hAnsi="仿宋" w:eastAsia="仿宋"/>
          <w:bCs/>
          <w:sz w:val="24"/>
          <w:szCs w:val="28"/>
        </w:rPr>
        <w:t>若采购人在本项目采购过程中发现我单位近三年内在政府采购活动中有重大违法记录，我单位将无条件地退出本项目的投标，并承担因此引起的一切后果，</w:t>
      </w:r>
    </w:p>
    <w:p w14:paraId="5E0F449A">
      <w:pPr>
        <w:spacing w:line="440" w:lineRule="exact"/>
        <w:rPr>
          <w:rFonts w:hint="eastAsia" w:ascii="仿宋" w:hAnsi="仿宋" w:eastAsia="仿宋"/>
          <w:bCs/>
          <w:sz w:val="24"/>
          <w:szCs w:val="28"/>
        </w:rPr>
      </w:pPr>
    </w:p>
    <w:p w14:paraId="0AC79DEE">
      <w:pPr>
        <w:spacing w:line="440" w:lineRule="exact"/>
        <w:rPr>
          <w:rFonts w:hint="eastAsia" w:ascii="仿宋" w:hAnsi="仿宋" w:eastAsia="仿宋"/>
          <w:bCs/>
          <w:sz w:val="24"/>
          <w:szCs w:val="28"/>
        </w:rPr>
      </w:pPr>
    </w:p>
    <w:p w14:paraId="27026451">
      <w:pPr>
        <w:spacing w:line="440" w:lineRule="exact"/>
        <w:rPr>
          <w:rFonts w:hint="eastAsia" w:ascii="仿宋" w:hAnsi="仿宋" w:eastAsia="仿宋"/>
          <w:bCs/>
          <w:sz w:val="24"/>
          <w:szCs w:val="28"/>
        </w:rPr>
      </w:pPr>
    </w:p>
    <w:p w14:paraId="21CF3B63">
      <w:pPr>
        <w:spacing w:line="440" w:lineRule="exact"/>
        <w:rPr>
          <w:rFonts w:hint="eastAsia" w:ascii="仿宋" w:hAnsi="仿宋" w:eastAsia="仿宋"/>
          <w:bCs/>
          <w:sz w:val="24"/>
          <w:szCs w:val="28"/>
        </w:rPr>
      </w:pPr>
      <w:r>
        <w:rPr>
          <w:rFonts w:hint="eastAsia" w:ascii="仿宋" w:hAnsi="仿宋" w:eastAsia="仿宋"/>
          <w:bCs/>
          <w:sz w:val="24"/>
          <w:szCs w:val="28"/>
        </w:rPr>
        <w:t>报价供应商名称（公章）：</w:t>
      </w:r>
    </w:p>
    <w:p w14:paraId="26261524">
      <w:pPr>
        <w:spacing w:line="440" w:lineRule="exact"/>
        <w:rPr>
          <w:rFonts w:hint="eastAsia" w:ascii="仿宋" w:hAnsi="仿宋" w:eastAsia="仿宋"/>
          <w:bCs/>
          <w:sz w:val="24"/>
          <w:szCs w:val="28"/>
        </w:rPr>
      </w:pPr>
      <w:r>
        <w:rPr>
          <w:rFonts w:hint="eastAsia" w:ascii="仿宋" w:hAnsi="仿宋" w:eastAsia="仿宋"/>
          <w:bCs/>
          <w:sz w:val="24"/>
          <w:szCs w:val="28"/>
        </w:rPr>
        <w:t>报价供应商法定代表或其授权人：（签字或盖章）</w:t>
      </w:r>
    </w:p>
    <w:p w14:paraId="1E05C731">
      <w:pPr>
        <w:spacing w:line="440" w:lineRule="exact"/>
        <w:rPr>
          <w:rFonts w:hint="eastAsia" w:ascii="仿宋" w:hAnsi="仿宋" w:eastAsia="仿宋"/>
          <w:sz w:val="24"/>
          <w:szCs w:val="28"/>
        </w:rPr>
      </w:pPr>
    </w:p>
    <w:p w14:paraId="14F12443">
      <w:pPr>
        <w:spacing w:line="360" w:lineRule="auto"/>
        <w:rPr>
          <w:rFonts w:hint="eastAsia" w:ascii="仿宋" w:hAnsi="仿宋" w:eastAsia="仿宋"/>
          <w:sz w:val="24"/>
          <w:szCs w:val="28"/>
        </w:rPr>
      </w:pPr>
      <w:r>
        <w:rPr>
          <w:rFonts w:hint="eastAsia" w:ascii="仿宋" w:hAnsi="仿宋" w:eastAsia="仿宋"/>
          <w:sz w:val="24"/>
          <w:szCs w:val="28"/>
        </w:rPr>
        <w:t>日期：</w:t>
      </w:r>
      <w:r>
        <w:rPr>
          <w:rFonts w:ascii="仿宋" w:hAnsi="仿宋" w:eastAsia="仿宋"/>
          <w:sz w:val="24"/>
          <w:szCs w:val="28"/>
        </w:rPr>
        <w:t xml:space="preserve">   </w:t>
      </w:r>
      <w:r>
        <w:rPr>
          <w:rFonts w:hint="eastAsia" w:ascii="仿宋" w:hAnsi="仿宋" w:eastAsia="仿宋"/>
          <w:sz w:val="24"/>
          <w:szCs w:val="28"/>
        </w:rPr>
        <w:t>年</w:t>
      </w:r>
      <w:r>
        <w:rPr>
          <w:rFonts w:ascii="仿宋" w:hAnsi="仿宋" w:eastAsia="仿宋"/>
          <w:sz w:val="24"/>
          <w:szCs w:val="28"/>
        </w:rPr>
        <w:t xml:space="preserve">   </w:t>
      </w:r>
      <w:r>
        <w:rPr>
          <w:rFonts w:hint="eastAsia" w:ascii="仿宋" w:hAnsi="仿宋" w:eastAsia="仿宋"/>
          <w:sz w:val="24"/>
          <w:szCs w:val="28"/>
        </w:rPr>
        <w:t>月</w:t>
      </w:r>
      <w:r>
        <w:rPr>
          <w:rFonts w:ascii="仿宋" w:hAnsi="仿宋" w:eastAsia="仿宋"/>
          <w:sz w:val="24"/>
          <w:szCs w:val="28"/>
        </w:rPr>
        <w:t xml:space="preserve">   </w:t>
      </w:r>
      <w:r>
        <w:rPr>
          <w:rFonts w:hint="eastAsia" w:ascii="仿宋" w:hAnsi="仿宋" w:eastAsia="仿宋"/>
          <w:sz w:val="24"/>
          <w:szCs w:val="28"/>
        </w:rPr>
        <w:t>日</w:t>
      </w:r>
      <w:bookmarkEnd w:id="0"/>
    </w:p>
    <w:p w14:paraId="1FC0F026">
      <w:pPr>
        <w:spacing w:line="360" w:lineRule="auto"/>
        <w:rPr>
          <w:rFonts w:hint="eastAsia" w:ascii="仿宋" w:hAnsi="仿宋" w:eastAsia="仿宋"/>
          <w:sz w:val="24"/>
          <w:szCs w:val="28"/>
        </w:rPr>
      </w:pPr>
    </w:p>
    <w:p w14:paraId="5C669B88">
      <w:pPr>
        <w:spacing w:line="360" w:lineRule="auto"/>
        <w:rPr>
          <w:rFonts w:hint="eastAsia" w:ascii="仿宋" w:hAnsi="仿宋" w:eastAsia="仿宋"/>
          <w:sz w:val="24"/>
          <w:szCs w:val="28"/>
        </w:rPr>
      </w:pPr>
    </w:p>
    <w:p w14:paraId="07086B00">
      <w:pPr>
        <w:spacing w:line="360" w:lineRule="auto"/>
        <w:rPr>
          <w:rFonts w:hint="eastAsia" w:ascii="仿宋" w:hAnsi="仿宋" w:eastAsia="仿宋"/>
          <w:sz w:val="24"/>
          <w:szCs w:val="28"/>
        </w:rPr>
      </w:pPr>
    </w:p>
    <w:p w14:paraId="3B83D259">
      <w:pPr>
        <w:spacing w:line="360" w:lineRule="auto"/>
        <w:rPr>
          <w:rFonts w:hint="eastAsia" w:ascii="仿宋" w:hAnsi="仿宋" w:eastAsia="仿宋"/>
          <w:sz w:val="24"/>
          <w:szCs w:val="28"/>
        </w:rPr>
      </w:pPr>
    </w:p>
    <w:p w14:paraId="087D7B9E">
      <w:pPr>
        <w:spacing w:line="360" w:lineRule="auto"/>
        <w:rPr>
          <w:rFonts w:hint="eastAsia" w:ascii="仿宋" w:hAnsi="仿宋" w:eastAsia="仿宋"/>
          <w:sz w:val="24"/>
          <w:szCs w:val="28"/>
        </w:rPr>
      </w:pPr>
    </w:p>
    <w:p w14:paraId="188A4C99">
      <w:pPr>
        <w:spacing w:line="360" w:lineRule="auto"/>
        <w:rPr>
          <w:rFonts w:hint="eastAsia" w:ascii="仿宋" w:hAnsi="仿宋" w:eastAsia="仿宋"/>
          <w:sz w:val="24"/>
          <w:szCs w:val="28"/>
        </w:rPr>
      </w:pPr>
    </w:p>
    <w:p w14:paraId="63B13A13">
      <w:pPr>
        <w:spacing w:line="360" w:lineRule="auto"/>
        <w:rPr>
          <w:rFonts w:hint="eastAsia" w:ascii="仿宋" w:hAnsi="仿宋" w:eastAsia="仿宋"/>
          <w:sz w:val="24"/>
          <w:szCs w:val="28"/>
        </w:rPr>
      </w:pPr>
    </w:p>
    <w:p w14:paraId="781E57D9">
      <w:pPr>
        <w:spacing w:line="360" w:lineRule="auto"/>
        <w:rPr>
          <w:rFonts w:hint="eastAsia" w:ascii="仿宋" w:hAnsi="仿宋" w:eastAsia="仿宋"/>
          <w:sz w:val="24"/>
          <w:szCs w:val="28"/>
        </w:rPr>
      </w:pPr>
    </w:p>
    <w:p w14:paraId="44BF893C">
      <w:pPr>
        <w:spacing w:line="360" w:lineRule="auto"/>
        <w:rPr>
          <w:rFonts w:hint="eastAsia" w:ascii="仿宋" w:hAnsi="仿宋" w:eastAsia="仿宋"/>
          <w:sz w:val="24"/>
          <w:szCs w:val="28"/>
        </w:rPr>
      </w:pPr>
    </w:p>
    <w:p w14:paraId="3D309258">
      <w:pPr>
        <w:spacing w:line="360" w:lineRule="auto"/>
        <w:rPr>
          <w:rFonts w:hint="eastAsia" w:ascii="仿宋" w:hAnsi="仿宋" w:eastAsia="仿宋"/>
          <w:sz w:val="24"/>
          <w:szCs w:val="28"/>
        </w:rPr>
      </w:pPr>
    </w:p>
    <w:p w14:paraId="588BA86E">
      <w:pPr>
        <w:spacing w:line="360" w:lineRule="auto"/>
        <w:rPr>
          <w:rFonts w:hint="eastAsia" w:ascii="仿宋" w:hAnsi="仿宋" w:eastAsia="仿宋"/>
          <w:sz w:val="24"/>
          <w:szCs w:val="28"/>
        </w:rPr>
      </w:pPr>
    </w:p>
    <w:p w14:paraId="695611C3">
      <w:pPr>
        <w:spacing w:line="360" w:lineRule="auto"/>
        <w:rPr>
          <w:rFonts w:hint="eastAsia" w:ascii="仿宋" w:hAnsi="仿宋" w:eastAsia="仿宋"/>
          <w:sz w:val="24"/>
          <w:szCs w:val="28"/>
        </w:rPr>
      </w:pPr>
    </w:p>
    <w:p w14:paraId="703CE720">
      <w:pPr>
        <w:spacing w:line="360" w:lineRule="auto"/>
        <w:rPr>
          <w:rFonts w:hint="eastAsia" w:ascii="仿宋" w:hAnsi="仿宋" w:eastAsia="仿宋"/>
          <w:sz w:val="24"/>
          <w:szCs w:val="28"/>
        </w:rPr>
      </w:pPr>
    </w:p>
    <w:p w14:paraId="4BC7A114">
      <w:pPr>
        <w:spacing w:line="360" w:lineRule="auto"/>
        <w:rPr>
          <w:rFonts w:hint="eastAsia" w:ascii="仿宋" w:hAnsi="仿宋" w:eastAsia="仿宋"/>
          <w:sz w:val="24"/>
          <w:szCs w:val="28"/>
        </w:rPr>
      </w:pPr>
    </w:p>
    <w:p w14:paraId="2FC014EB">
      <w:pPr>
        <w:spacing w:line="360" w:lineRule="auto"/>
        <w:rPr>
          <w:rFonts w:hint="eastAsia" w:ascii="仿宋" w:hAnsi="仿宋" w:eastAsia="仿宋"/>
          <w:sz w:val="24"/>
          <w:szCs w:val="28"/>
        </w:rPr>
      </w:pPr>
    </w:p>
    <w:p w14:paraId="0D516E24">
      <w:pPr>
        <w:spacing w:line="360" w:lineRule="auto"/>
        <w:rPr>
          <w:rFonts w:hint="eastAsia" w:ascii="仿宋" w:hAnsi="仿宋" w:eastAsia="仿宋"/>
          <w:sz w:val="24"/>
          <w:szCs w:val="28"/>
        </w:rPr>
      </w:pPr>
    </w:p>
    <w:p w14:paraId="4E63DB98">
      <w:pPr>
        <w:rPr>
          <w:rFonts w:hint="eastAsia" w:eastAsiaTheme="minorEastAsia"/>
          <w:color w:val="000000" w:themeColor="text1"/>
          <w:sz w:val="24"/>
          <w:szCs w:val="28"/>
          <w:lang w:val="en-US" w:eastAsia="zh-CN"/>
          <w14:textFill>
            <w14:solidFill>
              <w14:schemeClr w14:val="tx1"/>
            </w14:solidFill>
          </w14:textFill>
        </w:rPr>
      </w:pPr>
      <w:r>
        <w:rPr>
          <w:rFonts w:hint="eastAsia"/>
          <w:color w:val="000000" w:themeColor="text1"/>
          <w:sz w:val="24"/>
          <w:szCs w:val="28"/>
          <w14:textFill>
            <w14:solidFill>
              <w14:schemeClr w14:val="tx1"/>
            </w14:solidFill>
          </w14:textFill>
        </w:rPr>
        <w:t>评分</w:t>
      </w:r>
      <w:r>
        <w:rPr>
          <w:rFonts w:hint="eastAsia"/>
          <w:color w:val="000000" w:themeColor="text1"/>
          <w:sz w:val="24"/>
          <w:szCs w:val="28"/>
          <w:lang w:val="en-US" w:eastAsia="zh-CN"/>
          <w14:textFill>
            <w14:solidFill>
              <w14:schemeClr w14:val="tx1"/>
            </w14:solidFill>
          </w14:textFill>
        </w:rPr>
        <w:t>标准</w:t>
      </w:r>
    </w:p>
    <w:tbl>
      <w:tblPr>
        <w:tblStyle w:val="20"/>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1144"/>
        <w:gridCol w:w="853"/>
        <w:gridCol w:w="5978"/>
      </w:tblGrid>
      <w:tr w14:paraId="0184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708" w:type="dxa"/>
            <w:gridSpan w:val="2"/>
            <w:noWrap w:val="0"/>
            <w:vAlign w:val="center"/>
          </w:tcPr>
          <w:p w14:paraId="093EDD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评审内容</w:t>
            </w:r>
          </w:p>
        </w:tc>
        <w:tc>
          <w:tcPr>
            <w:tcW w:w="853" w:type="dxa"/>
            <w:noWrap w:val="0"/>
            <w:vAlign w:val="center"/>
          </w:tcPr>
          <w:p w14:paraId="2DA89F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分值</w:t>
            </w:r>
          </w:p>
        </w:tc>
        <w:tc>
          <w:tcPr>
            <w:tcW w:w="5978" w:type="dxa"/>
            <w:noWrap w:val="0"/>
            <w:vAlign w:val="center"/>
          </w:tcPr>
          <w:p w14:paraId="5BE336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评审标准</w:t>
            </w:r>
          </w:p>
        </w:tc>
      </w:tr>
      <w:tr w14:paraId="36BB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4" w:hRule="atLeast"/>
          <w:jc w:val="center"/>
        </w:trPr>
        <w:tc>
          <w:tcPr>
            <w:tcW w:w="564" w:type="dxa"/>
            <w:noWrap w:val="0"/>
            <w:vAlign w:val="center"/>
          </w:tcPr>
          <w:p w14:paraId="7E8C94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1"/>
                <w:szCs w:val="21"/>
              </w:rPr>
            </w:pPr>
            <w:r>
              <w:rPr>
                <w:rFonts w:hint="eastAsia" w:ascii="仿宋" w:hAnsi="仿宋" w:eastAsia="仿宋" w:cs="仿宋"/>
                <w:sz w:val="21"/>
                <w:szCs w:val="21"/>
              </w:rPr>
              <w:t>商务评分</w:t>
            </w:r>
          </w:p>
        </w:tc>
        <w:tc>
          <w:tcPr>
            <w:tcW w:w="1144" w:type="dxa"/>
            <w:noWrap w:val="0"/>
            <w:vAlign w:val="center"/>
          </w:tcPr>
          <w:p w14:paraId="48ED5E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1"/>
                <w:szCs w:val="21"/>
              </w:rPr>
            </w:pPr>
            <w:r>
              <w:rPr>
                <w:rFonts w:hint="eastAsia" w:ascii="仿宋" w:hAnsi="仿宋" w:eastAsia="仿宋" w:cs="仿宋"/>
                <w:sz w:val="21"/>
                <w:szCs w:val="21"/>
              </w:rPr>
              <w:t>投标报价</w:t>
            </w:r>
          </w:p>
        </w:tc>
        <w:tc>
          <w:tcPr>
            <w:tcW w:w="853" w:type="dxa"/>
            <w:noWrap w:val="0"/>
            <w:vAlign w:val="center"/>
          </w:tcPr>
          <w:p w14:paraId="7D7714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0分</w:t>
            </w:r>
          </w:p>
        </w:tc>
        <w:tc>
          <w:tcPr>
            <w:tcW w:w="5978" w:type="dxa"/>
            <w:noWrap w:val="0"/>
            <w:vAlign w:val="center"/>
          </w:tcPr>
          <w:p w14:paraId="066F4FC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1"/>
                <w:szCs w:val="21"/>
                <w:lang w:val="en-GB" w:eastAsia="zh-CN" w:bidi="ar-SA"/>
              </w:rPr>
            </w:pPr>
            <w:r>
              <w:rPr>
                <w:rFonts w:hint="eastAsia" w:ascii="仿宋" w:hAnsi="仿宋" w:eastAsia="仿宋" w:cs="仿宋"/>
                <w:kern w:val="0"/>
                <w:sz w:val="21"/>
                <w:szCs w:val="21"/>
                <w:lang w:val="en-GB" w:eastAsia="zh-CN" w:bidi="ar-SA"/>
              </w:rPr>
              <w:t>（1）满足招标文件要求且投标价格最低的投标报价为评标基准价，得满分。</w:t>
            </w:r>
          </w:p>
          <w:p w14:paraId="0520A1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1"/>
                <w:szCs w:val="21"/>
                <w:lang w:val="en-GB" w:eastAsia="zh-CN" w:bidi="ar-SA"/>
              </w:rPr>
            </w:pPr>
            <w:r>
              <w:rPr>
                <w:rFonts w:hint="eastAsia" w:ascii="仿宋" w:hAnsi="仿宋" w:eastAsia="仿宋" w:cs="仿宋"/>
                <w:kern w:val="0"/>
                <w:sz w:val="21"/>
                <w:szCs w:val="21"/>
                <w:lang w:val="en-GB" w:eastAsia="zh-CN" w:bidi="ar-SA"/>
              </w:rPr>
              <w:t>（2）计算得分：投标报价得分＝（评标基准价/投标报价）×20。</w:t>
            </w:r>
          </w:p>
          <w:p w14:paraId="7258FE7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Cs/>
                <w:sz w:val="21"/>
                <w:szCs w:val="21"/>
              </w:rPr>
            </w:pPr>
            <w:r>
              <w:rPr>
                <w:rFonts w:hint="eastAsia" w:ascii="仿宋" w:hAnsi="仿宋" w:eastAsia="仿宋" w:cs="仿宋"/>
                <w:kern w:val="0"/>
                <w:sz w:val="21"/>
                <w:szCs w:val="21"/>
                <w:lang w:val="en-GB" w:eastAsia="zh-CN" w:bidi="ar-SA"/>
              </w:rPr>
              <w:t>（3）投标报价超过预算金额，不得分。</w:t>
            </w:r>
            <w:bookmarkStart w:id="1" w:name="_GoBack"/>
            <w:bookmarkEnd w:id="1"/>
          </w:p>
        </w:tc>
      </w:tr>
      <w:tr w14:paraId="4FFF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564" w:type="dxa"/>
            <w:vMerge w:val="restart"/>
            <w:noWrap w:val="0"/>
            <w:vAlign w:val="center"/>
          </w:tcPr>
          <w:p w14:paraId="4FE671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Cs/>
                <w:sz w:val="21"/>
                <w:szCs w:val="21"/>
                <w:highlight w:val="yellow"/>
              </w:rPr>
            </w:pPr>
            <w:r>
              <w:rPr>
                <w:rFonts w:hint="eastAsia" w:ascii="仿宋" w:hAnsi="仿宋" w:eastAsia="仿宋" w:cs="仿宋"/>
                <w:sz w:val="21"/>
                <w:szCs w:val="21"/>
              </w:rPr>
              <w:t>技术评分</w:t>
            </w:r>
          </w:p>
        </w:tc>
        <w:tc>
          <w:tcPr>
            <w:tcW w:w="1144" w:type="dxa"/>
            <w:shd w:val="clear" w:color="auto" w:fill="auto"/>
            <w:noWrap w:val="0"/>
            <w:vAlign w:val="center"/>
          </w:tcPr>
          <w:p w14:paraId="3885765C">
            <w:pPr>
              <w:keepNext w:val="0"/>
              <w:keepLines w:val="0"/>
              <w:pageBreakBefore w:val="0"/>
              <w:widowControl w:val="0"/>
              <w:kinsoku/>
              <w:wordWrap/>
              <w:overflowPunct/>
              <w:topLinePunct w:val="0"/>
              <w:autoSpaceDE/>
              <w:autoSpaceDN/>
              <w:bidi w:val="0"/>
              <w:adjustRightInd/>
              <w:snapToGrid/>
              <w:spacing w:line="240" w:lineRule="auto"/>
              <w:ind w:left="-107" w:leftChars="-51"/>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bCs/>
                <w:sz w:val="21"/>
                <w:szCs w:val="21"/>
              </w:rPr>
              <w:t>服务实施方案</w:t>
            </w:r>
          </w:p>
        </w:tc>
        <w:tc>
          <w:tcPr>
            <w:tcW w:w="853" w:type="dxa"/>
            <w:shd w:val="clear" w:color="auto" w:fill="auto"/>
            <w:noWrap w:val="0"/>
            <w:vAlign w:val="center"/>
          </w:tcPr>
          <w:p w14:paraId="2B70A475">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35</w:t>
            </w:r>
            <w:r>
              <w:rPr>
                <w:rFonts w:hint="eastAsia" w:ascii="仿宋" w:hAnsi="仿宋" w:eastAsia="仿宋" w:cs="仿宋"/>
                <w:sz w:val="21"/>
                <w:szCs w:val="21"/>
              </w:rPr>
              <w:t>分</w:t>
            </w:r>
          </w:p>
        </w:tc>
        <w:tc>
          <w:tcPr>
            <w:tcW w:w="5978" w:type="dxa"/>
            <w:shd w:val="clear" w:color="auto" w:fill="auto"/>
            <w:noWrap w:val="0"/>
            <w:vAlign w:val="center"/>
          </w:tcPr>
          <w:p w14:paraId="531F6495">
            <w:pPr>
              <w:keepNext w:val="0"/>
              <w:keepLines w:val="0"/>
              <w:pageBreakBefore w:val="0"/>
              <w:widowControl w:val="0"/>
              <w:tabs>
                <w:tab w:val="left" w:pos="4600"/>
              </w:tabs>
              <w:kinsoku/>
              <w:wordWrap/>
              <w:overflowPunct/>
              <w:topLinePunct w:val="0"/>
              <w:autoSpaceDE/>
              <w:autoSpaceDN/>
              <w:bidi w:val="0"/>
              <w:adjustRightInd/>
              <w:snapToGrid/>
              <w:spacing w:line="240" w:lineRule="auto"/>
              <w:ind w:left="-51"/>
              <w:textAlignment w:val="auto"/>
              <w:rPr>
                <w:rFonts w:hint="eastAsia" w:ascii="仿宋" w:hAnsi="仿宋" w:eastAsia="仿宋" w:cs="仿宋"/>
                <w:kern w:val="0"/>
                <w:sz w:val="21"/>
                <w:szCs w:val="21"/>
                <w:lang w:val="en-GB" w:eastAsia="zh-CN" w:bidi="ar-SA"/>
              </w:rPr>
            </w:pPr>
            <w:r>
              <w:rPr>
                <w:rFonts w:hint="eastAsia" w:ascii="仿宋" w:hAnsi="仿宋" w:eastAsia="仿宋" w:cs="仿宋"/>
                <w:kern w:val="0"/>
                <w:sz w:val="21"/>
                <w:szCs w:val="21"/>
                <w:lang w:val="en-US" w:eastAsia="zh-CN" w:bidi="ar-SA"/>
              </w:rPr>
              <w:t>1、</w:t>
            </w:r>
            <w:r>
              <w:rPr>
                <w:rFonts w:hint="eastAsia" w:ascii="仿宋" w:hAnsi="仿宋" w:eastAsia="仿宋" w:cs="仿宋"/>
                <w:kern w:val="0"/>
                <w:sz w:val="21"/>
                <w:szCs w:val="21"/>
                <w:lang w:val="en-GB" w:eastAsia="zh-CN" w:bidi="ar-SA"/>
              </w:rPr>
              <w:t>提供方案与本项目需求的吻合程度较高，对项目需求理解透彻，重点难点把握正确，实施方案、方法与程序科学，实施计划安排合理，应急处置措施和计划到位。具有较好的合理性、可行性及前瞻性的，得</w:t>
            </w:r>
            <w:r>
              <w:rPr>
                <w:rFonts w:hint="eastAsia" w:ascii="仿宋" w:hAnsi="仿宋" w:eastAsia="仿宋" w:cs="仿宋"/>
                <w:kern w:val="0"/>
                <w:sz w:val="21"/>
                <w:szCs w:val="21"/>
                <w:lang w:val="en-US" w:eastAsia="zh-CN" w:bidi="ar-SA"/>
              </w:rPr>
              <w:t>28</w:t>
            </w:r>
            <w:r>
              <w:rPr>
                <w:rFonts w:hint="eastAsia" w:ascii="仿宋" w:hAnsi="仿宋" w:eastAsia="仿宋" w:cs="仿宋"/>
                <w:kern w:val="0"/>
                <w:sz w:val="21"/>
                <w:szCs w:val="21"/>
                <w:lang w:val="en-GB" w:eastAsia="zh-CN" w:bidi="ar-SA"/>
              </w:rPr>
              <w:t>-3</w:t>
            </w:r>
            <w:r>
              <w:rPr>
                <w:rFonts w:hint="eastAsia" w:ascii="仿宋" w:hAnsi="仿宋" w:eastAsia="仿宋" w:cs="仿宋"/>
                <w:kern w:val="0"/>
                <w:sz w:val="21"/>
                <w:szCs w:val="21"/>
                <w:lang w:val="en-US" w:eastAsia="zh-CN" w:bidi="ar-SA"/>
              </w:rPr>
              <w:t>5</w:t>
            </w:r>
            <w:r>
              <w:rPr>
                <w:rFonts w:hint="eastAsia" w:ascii="仿宋" w:hAnsi="仿宋" w:eastAsia="仿宋" w:cs="仿宋"/>
                <w:kern w:val="0"/>
                <w:sz w:val="21"/>
                <w:szCs w:val="21"/>
                <w:lang w:val="en-GB" w:eastAsia="zh-CN" w:bidi="ar-SA"/>
              </w:rPr>
              <w:t>分。</w:t>
            </w:r>
          </w:p>
          <w:p w14:paraId="10CAEF5C">
            <w:pPr>
              <w:keepNext w:val="0"/>
              <w:keepLines w:val="0"/>
              <w:pageBreakBefore w:val="0"/>
              <w:widowControl w:val="0"/>
              <w:tabs>
                <w:tab w:val="left" w:pos="4600"/>
              </w:tabs>
              <w:kinsoku/>
              <w:wordWrap/>
              <w:overflowPunct/>
              <w:topLinePunct w:val="0"/>
              <w:autoSpaceDE/>
              <w:autoSpaceDN/>
              <w:bidi w:val="0"/>
              <w:adjustRightInd/>
              <w:snapToGrid/>
              <w:spacing w:line="240" w:lineRule="auto"/>
              <w:ind w:left="-51"/>
              <w:textAlignment w:val="auto"/>
              <w:rPr>
                <w:rFonts w:hint="eastAsia" w:ascii="仿宋" w:hAnsi="仿宋" w:eastAsia="仿宋" w:cs="仿宋"/>
                <w:kern w:val="0"/>
                <w:sz w:val="21"/>
                <w:szCs w:val="21"/>
                <w:lang w:val="en-GB" w:eastAsia="zh-CN" w:bidi="ar-SA"/>
              </w:rPr>
            </w:pPr>
            <w:r>
              <w:rPr>
                <w:rFonts w:hint="eastAsia" w:ascii="仿宋" w:hAnsi="仿宋" w:eastAsia="仿宋" w:cs="仿宋"/>
                <w:kern w:val="0"/>
                <w:sz w:val="21"/>
                <w:szCs w:val="21"/>
                <w:lang w:val="en-US" w:eastAsia="zh-CN" w:bidi="ar-SA"/>
              </w:rPr>
              <w:t>2、</w:t>
            </w:r>
            <w:r>
              <w:rPr>
                <w:rFonts w:hint="eastAsia" w:ascii="仿宋" w:hAnsi="仿宋" w:eastAsia="仿宋" w:cs="仿宋"/>
                <w:kern w:val="0"/>
                <w:sz w:val="21"/>
                <w:szCs w:val="21"/>
                <w:lang w:val="en-GB" w:eastAsia="zh-CN" w:bidi="ar-SA"/>
              </w:rPr>
              <w:t>提供方案与本项目需求有一定的吻合度，在需求理解、方案方法与程序、计划安排、应急处置措施及培训计划上体现出一定的科学性、合理性、先进性，但存在部分欠缺的，得1</w:t>
            </w:r>
            <w:r>
              <w:rPr>
                <w:rFonts w:hint="eastAsia" w:ascii="仿宋" w:hAnsi="仿宋" w:eastAsia="仿宋" w:cs="仿宋"/>
                <w:kern w:val="0"/>
                <w:sz w:val="21"/>
                <w:szCs w:val="21"/>
                <w:lang w:val="en-US" w:eastAsia="zh-CN" w:bidi="ar-SA"/>
              </w:rPr>
              <w:t>2</w:t>
            </w:r>
            <w:r>
              <w:rPr>
                <w:rFonts w:hint="eastAsia" w:ascii="仿宋" w:hAnsi="仿宋" w:eastAsia="仿宋" w:cs="仿宋"/>
                <w:kern w:val="0"/>
                <w:sz w:val="21"/>
                <w:szCs w:val="21"/>
                <w:lang w:val="en-GB" w:eastAsia="zh-CN" w:bidi="ar-SA"/>
              </w:rPr>
              <w:t>-</w:t>
            </w:r>
            <w:r>
              <w:rPr>
                <w:rFonts w:hint="eastAsia" w:ascii="仿宋" w:hAnsi="仿宋" w:eastAsia="仿宋" w:cs="仿宋"/>
                <w:kern w:val="0"/>
                <w:sz w:val="21"/>
                <w:szCs w:val="21"/>
                <w:lang w:val="en-US" w:eastAsia="zh-CN" w:bidi="ar-SA"/>
              </w:rPr>
              <w:t>27</w:t>
            </w:r>
            <w:r>
              <w:rPr>
                <w:rFonts w:hint="eastAsia" w:ascii="仿宋" w:hAnsi="仿宋" w:eastAsia="仿宋" w:cs="仿宋"/>
                <w:kern w:val="0"/>
                <w:sz w:val="21"/>
                <w:szCs w:val="21"/>
                <w:lang w:val="en-GB" w:eastAsia="zh-CN" w:bidi="ar-SA"/>
              </w:rPr>
              <w:t>分。</w:t>
            </w:r>
          </w:p>
          <w:p w14:paraId="212D5B13">
            <w:pPr>
              <w:keepNext w:val="0"/>
              <w:keepLines w:val="0"/>
              <w:pageBreakBefore w:val="0"/>
              <w:widowControl w:val="0"/>
              <w:tabs>
                <w:tab w:val="left" w:pos="4600"/>
              </w:tabs>
              <w:kinsoku/>
              <w:wordWrap/>
              <w:overflowPunct/>
              <w:topLinePunct w:val="0"/>
              <w:autoSpaceDE/>
              <w:autoSpaceDN/>
              <w:bidi w:val="0"/>
              <w:adjustRightInd/>
              <w:snapToGrid/>
              <w:spacing w:line="240" w:lineRule="auto"/>
              <w:ind w:left="-51" w:leftChars="0"/>
              <w:textAlignment w:val="auto"/>
              <w:rPr>
                <w:rFonts w:hint="eastAsia" w:ascii="仿宋" w:hAnsi="仿宋" w:eastAsia="仿宋" w:cs="仿宋"/>
                <w:kern w:val="2"/>
                <w:sz w:val="21"/>
                <w:szCs w:val="21"/>
                <w:lang w:val="en-GB" w:eastAsia="zh-CN" w:bidi="ar-SA"/>
              </w:rPr>
            </w:pPr>
            <w:r>
              <w:rPr>
                <w:rFonts w:hint="eastAsia" w:ascii="仿宋" w:hAnsi="仿宋" w:eastAsia="仿宋" w:cs="仿宋"/>
                <w:kern w:val="0"/>
                <w:sz w:val="21"/>
                <w:szCs w:val="21"/>
                <w:lang w:val="en-US" w:eastAsia="zh-CN" w:bidi="ar-SA"/>
              </w:rPr>
              <w:t>3、</w:t>
            </w:r>
            <w:r>
              <w:rPr>
                <w:rFonts w:hint="eastAsia" w:ascii="仿宋" w:hAnsi="仿宋" w:eastAsia="仿宋" w:cs="仿宋"/>
                <w:kern w:val="0"/>
                <w:sz w:val="21"/>
                <w:szCs w:val="21"/>
                <w:lang w:val="en-GB" w:eastAsia="zh-CN" w:bidi="ar-SA"/>
              </w:rPr>
              <w:t>提供方案与本项目需求吻合度一般，在需求理解、方案方法与程序、计划安排、应急处置措施及培训计划上也存在一定不足、体现出方案部分科学性与先进性的，得0-1</w:t>
            </w:r>
            <w:r>
              <w:rPr>
                <w:rFonts w:hint="eastAsia" w:ascii="仿宋" w:hAnsi="仿宋" w:eastAsia="仿宋" w:cs="仿宋"/>
                <w:kern w:val="0"/>
                <w:sz w:val="21"/>
                <w:szCs w:val="21"/>
                <w:lang w:val="en-US" w:eastAsia="zh-CN" w:bidi="ar-SA"/>
              </w:rPr>
              <w:t>1</w:t>
            </w:r>
            <w:r>
              <w:rPr>
                <w:rFonts w:hint="eastAsia" w:ascii="仿宋" w:hAnsi="仿宋" w:eastAsia="仿宋" w:cs="仿宋"/>
                <w:kern w:val="0"/>
                <w:sz w:val="21"/>
                <w:szCs w:val="21"/>
                <w:lang w:val="en-GB" w:eastAsia="zh-CN" w:bidi="ar-SA"/>
              </w:rPr>
              <w:t>分。</w:t>
            </w:r>
          </w:p>
        </w:tc>
      </w:tr>
      <w:tr w14:paraId="6825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564" w:type="dxa"/>
            <w:vMerge w:val="continue"/>
            <w:noWrap w:val="0"/>
            <w:vAlign w:val="center"/>
          </w:tcPr>
          <w:p w14:paraId="0B0849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Cs/>
                <w:sz w:val="21"/>
                <w:szCs w:val="21"/>
                <w:highlight w:val="yellow"/>
              </w:rPr>
            </w:pPr>
          </w:p>
        </w:tc>
        <w:tc>
          <w:tcPr>
            <w:tcW w:w="1144" w:type="dxa"/>
            <w:noWrap w:val="0"/>
            <w:vAlign w:val="center"/>
          </w:tcPr>
          <w:p w14:paraId="30FF00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1"/>
                <w:szCs w:val="21"/>
              </w:rPr>
            </w:pPr>
            <w:r>
              <w:rPr>
                <w:rFonts w:hint="eastAsia" w:ascii="仿宋" w:hAnsi="仿宋" w:eastAsia="仿宋" w:cs="仿宋"/>
                <w:sz w:val="21"/>
                <w:szCs w:val="21"/>
              </w:rPr>
              <w:t>项目人员配备</w:t>
            </w:r>
          </w:p>
        </w:tc>
        <w:tc>
          <w:tcPr>
            <w:tcW w:w="853" w:type="dxa"/>
            <w:noWrap w:val="0"/>
            <w:vAlign w:val="center"/>
          </w:tcPr>
          <w:p w14:paraId="5F02B2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val="en-US" w:eastAsia="zh-CN"/>
              </w:rPr>
              <w:t>5</w:t>
            </w:r>
            <w:r>
              <w:rPr>
                <w:rFonts w:hint="eastAsia" w:ascii="仿宋" w:hAnsi="仿宋" w:eastAsia="仿宋" w:cs="仿宋"/>
                <w:sz w:val="21"/>
                <w:szCs w:val="21"/>
              </w:rPr>
              <w:t>分</w:t>
            </w:r>
          </w:p>
        </w:tc>
        <w:tc>
          <w:tcPr>
            <w:tcW w:w="5978" w:type="dxa"/>
            <w:noWrap w:val="0"/>
            <w:vAlign w:val="center"/>
          </w:tcPr>
          <w:p w14:paraId="1AF5FA5C">
            <w:pPr>
              <w:pStyle w:val="1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1"/>
                <w:szCs w:val="21"/>
                <w:lang w:val="en-GB"/>
              </w:rPr>
            </w:pPr>
            <w:r>
              <w:rPr>
                <w:rFonts w:hint="eastAsia" w:ascii="仿宋" w:hAnsi="仿宋" w:eastAsia="仿宋" w:cs="仿宋"/>
                <w:sz w:val="21"/>
                <w:szCs w:val="21"/>
                <w:lang w:val="en-GB"/>
              </w:rPr>
              <w:t>项目</w:t>
            </w:r>
            <w:r>
              <w:rPr>
                <w:rFonts w:hint="eastAsia" w:ascii="仿宋" w:hAnsi="仿宋" w:eastAsia="仿宋" w:cs="仿宋"/>
                <w:sz w:val="21"/>
                <w:szCs w:val="21"/>
              </w:rPr>
              <w:t>实施</w:t>
            </w:r>
            <w:r>
              <w:rPr>
                <w:rFonts w:hint="eastAsia" w:ascii="仿宋" w:hAnsi="仿宋" w:eastAsia="仿宋" w:cs="仿宋"/>
                <w:sz w:val="21"/>
                <w:szCs w:val="21"/>
                <w:lang w:val="en-GB"/>
              </w:rPr>
              <w:t>期间，</w:t>
            </w:r>
            <w:r>
              <w:rPr>
                <w:rFonts w:hint="eastAsia" w:ascii="仿宋" w:hAnsi="仿宋" w:eastAsia="仿宋" w:cs="仿宋"/>
                <w:sz w:val="21"/>
                <w:szCs w:val="21"/>
              </w:rPr>
              <w:t>公司技术人员配备，</w:t>
            </w:r>
            <w:r>
              <w:rPr>
                <w:rFonts w:hint="eastAsia" w:ascii="仿宋" w:hAnsi="仿宋" w:eastAsia="仿宋" w:cs="仿宋"/>
                <w:sz w:val="21"/>
                <w:szCs w:val="21"/>
                <w:lang w:val="en-GB"/>
              </w:rPr>
              <w:t>针对本项目拟派的人员配备进行综合评价。</w:t>
            </w:r>
          </w:p>
          <w:p w14:paraId="7601D2A4">
            <w:pPr>
              <w:pStyle w:val="1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1"/>
                <w:szCs w:val="21"/>
                <w:lang w:val="en-GB"/>
              </w:rPr>
            </w:pPr>
            <w:r>
              <w:rPr>
                <w:rFonts w:hint="eastAsia" w:ascii="仿宋" w:hAnsi="仿宋" w:eastAsia="仿宋" w:cs="仿宋"/>
                <w:sz w:val="21"/>
                <w:szCs w:val="21"/>
                <w:lang w:val="en-GB"/>
              </w:rPr>
              <w:t>1</w:t>
            </w:r>
            <w:r>
              <w:rPr>
                <w:rFonts w:hint="eastAsia" w:ascii="仿宋" w:hAnsi="仿宋" w:eastAsia="仿宋" w:cs="仿宋"/>
                <w:sz w:val="21"/>
                <w:szCs w:val="21"/>
                <w:lang w:val="en-GB" w:eastAsia="zh-CN"/>
              </w:rPr>
              <w:t>、</w:t>
            </w:r>
            <w:r>
              <w:rPr>
                <w:rFonts w:hint="eastAsia" w:ascii="仿宋" w:hAnsi="仿宋" w:eastAsia="仿宋" w:cs="仿宋"/>
                <w:sz w:val="21"/>
                <w:szCs w:val="21"/>
                <w:lang w:val="en-GB"/>
              </w:rPr>
              <w:t>人员</w:t>
            </w:r>
            <w:r>
              <w:rPr>
                <w:rFonts w:hint="eastAsia" w:ascii="仿宋" w:hAnsi="仿宋" w:eastAsia="仿宋" w:cs="仿宋"/>
                <w:sz w:val="21"/>
                <w:szCs w:val="21"/>
                <w:lang w:val="en-US" w:eastAsia="zh-CN"/>
              </w:rPr>
              <w:t>履历丰富，</w:t>
            </w:r>
            <w:r>
              <w:rPr>
                <w:rFonts w:hint="eastAsia" w:ascii="仿宋" w:hAnsi="仿宋" w:eastAsia="仿宋" w:cs="仿宋"/>
                <w:sz w:val="21"/>
                <w:szCs w:val="21"/>
                <w:lang w:val="en-GB"/>
              </w:rPr>
              <w:t>配备合理、到位，得</w:t>
            </w:r>
            <w:r>
              <w:rPr>
                <w:rFonts w:hint="eastAsia" w:ascii="仿宋" w:hAnsi="仿宋" w:eastAsia="仿宋" w:cs="仿宋"/>
                <w:sz w:val="21"/>
                <w:szCs w:val="21"/>
                <w:lang w:val="en-US" w:eastAsia="zh-CN"/>
              </w:rPr>
              <w:t>12</w:t>
            </w:r>
            <w:r>
              <w:rPr>
                <w:rFonts w:hint="eastAsia" w:ascii="仿宋" w:hAnsi="仿宋" w:eastAsia="仿宋" w:cs="仿宋"/>
                <w:sz w:val="21"/>
                <w:szCs w:val="21"/>
                <w:lang w:val="en-GB"/>
              </w:rPr>
              <w:t>-</w:t>
            </w:r>
            <w:r>
              <w:rPr>
                <w:rFonts w:hint="eastAsia" w:ascii="仿宋" w:hAnsi="仿宋" w:eastAsia="仿宋" w:cs="仿宋"/>
                <w:sz w:val="21"/>
                <w:szCs w:val="21"/>
              </w:rPr>
              <w:t>1</w:t>
            </w:r>
            <w:r>
              <w:rPr>
                <w:rFonts w:hint="eastAsia" w:ascii="仿宋" w:hAnsi="仿宋" w:eastAsia="仿宋" w:cs="仿宋"/>
                <w:sz w:val="21"/>
                <w:szCs w:val="21"/>
                <w:lang w:val="en-US" w:eastAsia="zh-CN"/>
              </w:rPr>
              <w:t>5</w:t>
            </w:r>
            <w:r>
              <w:rPr>
                <w:rFonts w:hint="eastAsia" w:ascii="仿宋" w:hAnsi="仿宋" w:eastAsia="仿宋" w:cs="仿宋"/>
                <w:sz w:val="21"/>
                <w:szCs w:val="21"/>
                <w:lang w:val="en-GB"/>
              </w:rPr>
              <w:t>分；</w:t>
            </w:r>
          </w:p>
          <w:p w14:paraId="08C0F51B">
            <w:pPr>
              <w:pStyle w:val="1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1"/>
                <w:szCs w:val="21"/>
                <w:lang w:val="en-GB"/>
              </w:rPr>
            </w:pPr>
            <w:r>
              <w:rPr>
                <w:rFonts w:hint="eastAsia" w:ascii="仿宋" w:hAnsi="仿宋" w:eastAsia="仿宋" w:cs="仿宋"/>
                <w:sz w:val="21"/>
                <w:szCs w:val="21"/>
                <w:lang w:val="en-GB"/>
              </w:rPr>
              <w:t>2</w:t>
            </w:r>
            <w:r>
              <w:rPr>
                <w:rFonts w:hint="eastAsia" w:ascii="仿宋" w:hAnsi="仿宋" w:eastAsia="仿宋" w:cs="仿宋"/>
                <w:sz w:val="21"/>
                <w:szCs w:val="21"/>
                <w:lang w:val="en-GB" w:eastAsia="zh-CN"/>
              </w:rPr>
              <w:t>、</w:t>
            </w:r>
            <w:r>
              <w:rPr>
                <w:rFonts w:hint="eastAsia" w:ascii="仿宋" w:hAnsi="仿宋" w:eastAsia="仿宋" w:cs="仿宋"/>
                <w:sz w:val="21"/>
                <w:szCs w:val="21"/>
                <w:lang w:val="en-GB"/>
              </w:rPr>
              <w:t>人员</w:t>
            </w:r>
            <w:r>
              <w:rPr>
                <w:rFonts w:hint="eastAsia" w:ascii="仿宋" w:hAnsi="仿宋" w:eastAsia="仿宋" w:cs="仿宋"/>
                <w:sz w:val="21"/>
                <w:szCs w:val="21"/>
                <w:lang w:val="en-US" w:eastAsia="zh-CN"/>
              </w:rPr>
              <w:t>履历一般或未提供履历，</w:t>
            </w:r>
            <w:r>
              <w:rPr>
                <w:rFonts w:hint="eastAsia" w:ascii="仿宋" w:hAnsi="仿宋" w:eastAsia="仿宋" w:cs="仿宋"/>
                <w:sz w:val="21"/>
                <w:szCs w:val="21"/>
                <w:lang w:val="en-GB"/>
              </w:rPr>
              <w:t>配备比较合理、到位，得</w:t>
            </w:r>
            <w:r>
              <w:rPr>
                <w:rFonts w:hint="eastAsia" w:ascii="仿宋" w:hAnsi="仿宋" w:eastAsia="仿宋" w:cs="仿宋"/>
                <w:sz w:val="21"/>
                <w:szCs w:val="21"/>
                <w:lang w:val="en-US" w:eastAsia="zh-CN"/>
              </w:rPr>
              <w:t>5</w:t>
            </w:r>
            <w:r>
              <w:rPr>
                <w:rFonts w:hint="eastAsia" w:ascii="仿宋" w:hAnsi="仿宋" w:eastAsia="仿宋" w:cs="仿宋"/>
                <w:sz w:val="21"/>
                <w:szCs w:val="21"/>
                <w:lang w:val="en-GB"/>
              </w:rPr>
              <w:t>-</w:t>
            </w:r>
            <w:r>
              <w:rPr>
                <w:rFonts w:hint="eastAsia" w:ascii="仿宋" w:hAnsi="仿宋" w:eastAsia="仿宋" w:cs="仿宋"/>
                <w:sz w:val="21"/>
                <w:szCs w:val="21"/>
                <w:lang w:val="en-US" w:eastAsia="zh-CN"/>
              </w:rPr>
              <w:t>11</w:t>
            </w:r>
            <w:r>
              <w:rPr>
                <w:rFonts w:hint="eastAsia" w:ascii="仿宋" w:hAnsi="仿宋" w:eastAsia="仿宋" w:cs="仿宋"/>
                <w:sz w:val="21"/>
                <w:szCs w:val="21"/>
                <w:lang w:val="en-GB"/>
              </w:rPr>
              <w:t>分；</w:t>
            </w:r>
          </w:p>
          <w:p w14:paraId="170932C0">
            <w:pPr>
              <w:pStyle w:val="1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1"/>
                <w:szCs w:val="21"/>
                <w:lang w:val="en-GB"/>
              </w:rPr>
            </w:pPr>
            <w:r>
              <w:rPr>
                <w:rFonts w:hint="eastAsia" w:ascii="仿宋" w:hAnsi="仿宋" w:eastAsia="仿宋" w:cs="仿宋"/>
                <w:sz w:val="21"/>
                <w:szCs w:val="21"/>
                <w:lang w:val="en-GB"/>
              </w:rPr>
              <w:t>3</w:t>
            </w:r>
            <w:r>
              <w:rPr>
                <w:rFonts w:hint="eastAsia" w:ascii="仿宋" w:hAnsi="仿宋" w:eastAsia="仿宋" w:cs="仿宋"/>
                <w:sz w:val="21"/>
                <w:szCs w:val="21"/>
                <w:lang w:val="en-GB" w:eastAsia="zh-CN"/>
              </w:rPr>
              <w:t>、</w:t>
            </w:r>
            <w:r>
              <w:rPr>
                <w:rFonts w:hint="eastAsia" w:ascii="仿宋" w:hAnsi="仿宋" w:eastAsia="仿宋" w:cs="仿宋"/>
                <w:sz w:val="21"/>
                <w:szCs w:val="21"/>
                <w:lang w:val="en-GB"/>
              </w:rPr>
              <w:t>人员</w:t>
            </w:r>
            <w:r>
              <w:rPr>
                <w:rFonts w:hint="eastAsia" w:ascii="仿宋" w:hAnsi="仿宋" w:eastAsia="仿宋" w:cs="仿宋"/>
                <w:sz w:val="21"/>
                <w:szCs w:val="21"/>
                <w:lang w:val="en-US" w:eastAsia="zh-CN"/>
              </w:rPr>
              <w:t>未提供履历，</w:t>
            </w:r>
            <w:r>
              <w:rPr>
                <w:rFonts w:hint="eastAsia" w:ascii="仿宋" w:hAnsi="仿宋" w:eastAsia="仿宋" w:cs="仿宋"/>
                <w:sz w:val="21"/>
                <w:szCs w:val="21"/>
                <w:lang w:val="en-GB"/>
              </w:rPr>
              <w:t>配备不明确、不合理，得0-</w:t>
            </w:r>
            <w:r>
              <w:rPr>
                <w:rFonts w:hint="eastAsia" w:ascii="仿宋" w:hAnsi="仿宋" w:eastAsia="仿宋" w:cs="仿宋"/>
                <w:sz w:val="21"/>
                <w:szCs w:val="21"/>
                <w:lang w:val="en-US" w:eastAsia="zh-CN"/>
              </w:rPr>
              <w:t>4</w:t>
            </w:r>
            <w:r>
              <w:rPr>
                <w:rFonts w:hint="eastAsia" w:ascii="仿宋" w:hAnsi="仿宋" w:eastAsia="仿宋" w:cs="仿宋"/>
                <w:sz w:val="21"/>
                <w:szCs w:val="21"/>
                <w:lang w:val="en-GB"/>
              </w:rPr>
              <w:t>分。</w:t>
            </w:r>
          </w:p>
        </w:tc>
      </w:tr>
      <w:tr w14:paraId="5145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Merge w:val="continue"/>
            <w:noWrap w:val="0"/>
            <w:vAlign w:val="center"/>
          </w:tcPr>
          <w:p w14:paraId="07CFFC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Cs/>
                <w:sz w:val="21"/>
                <w:szCs w:val="21"/>
                <w:highlight w:val="yellow"/>
              </w:rPr>
            </w:pPr>
          </w:p>
        </w:tc>
        <w:tc>
          <w:tcPr>
            <w:tcW w:w="1144" w:type="dxa"/>
            <w:noWrap w:val="0"/>
            <w:vAlign w:val="center"/>
          </w:tcPr>
          <w:p w14:paraId="58900B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sz w:val="21"/>
                <w:szCs w:val="21"/>
              </w:rPr>
            </w:pPr>
            <w:r>
              <w:rPr>
                <w:rFonts w:hint="eastAsia" w:ascii="仿宋" w:hAnsi="仿宋" w:eastAsia="仿宋" w:cs="仿宋"/>
                <w:sz w:val="21"/>
                <w:szCs w:val="21"/>
              </w:rPr>
              <w:t>项目进度计划及保证措施</w:t>
            </w:r>
          </w:p>
        </w:tc>
        <w:tc>
          <w:tcPr>
            <w:tcW w:w="853" w:type="dxa"/>
            <w:noWrap w:val="0"/>
            <w:vAlign w:val="center"/>
          </w:tcPr>
          <w:p w14:paraId="057CD7C6">
            <w:pPr>
              <w:keepNext w:val="0"/>
              <w:keepLines w:val="0"/>
              <w:pageBreakBefore w:val="0"/>
              <w:widowControl w:val="0"/>
              <w:kinsoku/>
              <w:wordWrap/>
              <w:overflowPunct/>
              <w:topLinePunct w:val="0"/>
              <w:autoSpaceDE/>
              <w:autoSpaceDN/>
              <w:bidi w:val="0"/>
              <w:adjustRightInd/>
              <w:snapToGrid/>
              <w:spacing w:line="240" w:lineRule="auto"/>
              <w:ind w:left="67" w:leftChars="32" w:right="57" w:rightChars="27"/>
              <w:jc w:val="center"/>
              <w:textAlignment w:val="auto"/>
              <w:rPr>
                <w:rFonts w:hint="eastAsia" w:ascii="仿宋" w:hAnsi="仿宋" w:eastAsia="仿宋" w:cs="仿宋"/>
                <w:bCs/>
                <w:color w:val="000000"/>
                <w:sz w:val="21"/>
                <w:szCs w:val="21"/>
              </w:rPr>
            </w:pPr>
            <w:r>
              <w:rPr>
                <w:rFonts w:hint="eastAsia" w:ascii="仿宋" w:hAnsi="仿宋" w:eastAsia="仿宋" w:cs="仿宋"/>
                <w:bCs/>
                <w:color w:val="000000"/>
                <w:sz w:val="21"/>
                <w:szCs w:val="21"/>
              </w:rPr>
              <w:t>1</w:t>
            </w:r>
            <w:r>
              <w:rPr>
                <w:rFonts w:hint="eastAsia" w:ascii="仿宋" w:hAnsi="仿宋" w:eastAsia="仿宋" w:cs="仿宋"/>
                <w:bCs/>
                <w:color w:val="000000"/>
                <w:sz w:val="21"/>
                <w:szCs w:val="21"/>
                <w:lang w:val="en-US" w:eastAsia="zh-CN"/>
              </w:rPr>
              <w:t>5</w:t>
            </w:r>
            <w:r>
              <w:rPr>
                <w:rFonts w:hint="eastAsia" w:ascii="仿宋" w:hAnsi="仿宋" w:eastAsia="仿宋" w:cs="仿宋"/>
                <w:bCs/>
                <w:color w:val="000000"/>
                <w:sz w:val="21"/>
                <w:szCs w:val="21"/>
              </w:rPr>
              <w:t>分</w:t>
            </w:r>
          </w:p>
        </w:tc>
        <w:tc>
          <w:tcPr>
            <w:tcW w:w="5978" w:type="dxa"/>
            <w:noWrap w:val="0"/>
            <w:vAlign w:val="center"/>
          </w:tcPr>
          <w:p w14:paraId="5449930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1"/>
                <w:szCs w:val="21"/>
                <w:lang w:val="en-GB" w:eastAsia="zh-CN" w:bidi="ar-SA"/>
              </w:rPr>
            </w:pPr>
            <w:r>
              <w:rPr>
                <w:rFonts w:hint="eastAsia" w:ascii="仿宋" w:hAnsi="仿宋" w:eastAsia="仿宋" w:cs="仿宋"/>
                <w:kern w:val="0"/>
                <w:sz w:val="21"/>
                <w:szCs w:val="21"/>
                <w:lang w:val="en-GB" w:eastAsia="zh-CN" w:bidi="ar-SA"/>
              </w:rPr>
              <w:t>1、有明确的工作进度计划安排表或类似说明，各工作节点工作内容表述清晰，且相应的保证措施明确，安装调试方案、验收标准及计划满足要求的，得</w:t>
            </w:r>
            <w:r>
              <w:rPr>
                <w:rFonts w:hint="eastAsia" w:ascii="仿宋" w:hAnsi="仿宋" w:eastAsia="仿宋" w:cs="仿宋"/>
                <w:kern w:val="0"/>
                <w:sz w:val="21"/>
                <w:szCs w:val="21"/>
                <w:lang w:val="en-US" w:eastAsia="zh-CN" w:bidi="ar-SA"/>
              </w:rPr>
              <w:t>13</w:t>
            </w:r>
            <w:r>
              <w:rPr>
                <w:rFonts w:hint="eastAsia" w:ascii="仿宋" w:hAnsi="仿宋" w:eastAsia="仿宋" w:cs="仿宋"/>
                <w:kern w:val="0"/>
                <w:sz w:val="21"/>
                <w:szCs w:val="21"/>
                <w:lang w:val="en-GB" w:eastAsia="zh-CN" w:bidi="ar-SA"/>
              </w:rPr>
              <w:t>-1</w:t>
            </w:r>
            <w:r>
              <w:rPr>
                <w:rFonts w:hint="eastAsia" w:ascii="仿宋" w:hAnsi="仿宋" w:eastAsia="仿宋" w:cs="仿宋"/>
                <w:kern w:val="0"/>
                <w:sz w:val="21"/>
                <w:szCs w:val="21"/>
                <w:lang w:val="en-US" w:eastAsia="zh-CN" w:bidi="ar-SA"/>
              </w:rPr>
              <w:t>5</w:t>
            </w:r>
            <w:r>
              <w:rPr>
                <w:rFonts w:hint="eastAsia" w:ascii="仿宋" w:hAnsi="仿宋" w:eastAsia="仿宋" w:cs="仿宋"/>
                <w:kern w:val="0"/>
                <w:sz w:val="21"/>
                <w:szCs w:val="21"/>
                <w:lang w:val="en-GB" w:eastAsia="zh-CN" w:bidi="ar-SA"/>
              </w:rPr>
              <w:t>分；</w:t>
            </w:r>
          </w:p>
          <w:p w14:paraId="0A72CE0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1"/>
                <w:szCs w:val="21"/>
                <w:lang w:val="en-GB" w:eastAsia="zh-CN" w:bidi="ar-SA"/>
              </w:rPr>
            </w:pPr>
            <w:r>
              <w:rPr>
                <w:rFonts w:hint="eastAsia" w:ascii="仿宋" w:hAnsi="仿宋" w:eastAsia="仿宋" w:cs="仿宋"/>
                <w:kern w:val="0"/>
                <w:sz w:val="21"/>
                <w:szCs w:val="21"/>
                <w:lang w:val="en-GB" w:eastAsia="zh-CN" w:bidi="ar-SA"/>
              </w:rPr>
              <w:t>2、项目进度计划时间安排较明确、保证措施欠缺或不清晰，安装调试方案及验收标准和计划略有缺陷，得</w:t>
            </w:r>
            <w:r>
              <w:rPr>
                <w:rFonts w:hint="eastAsia" w:ascii="仿宋" w:hAnsi="仿宋" w:eastAsia="仿宋" w:cs="仿宋"/>
                <w:kern w:val="0"/>
                <w:sz w:val="21"/>
                <w:szCs w:val="21"/>
                <w:lang w:val="en-US" w:eastAsia="zh-CN" w:bidi="ar-SA"/>
              </w:rPr>
              <w:t>5</w:t>
            </w:r>
            <w:r>
              <w:rPr>
                <w:rFonts w:hint="eastAsia" w:ascii="仿宋" w:hAnsi="仿宋" w:eastAsia="仿宋" w:cs="仿宋"/>
                <w:kern w:val="0"/>
                <w:sz w:val="21"/>
                <w:szCs w:val="21"/>
                <w:lang w:val="en-GB" w:eastAsia="zh-CN" w:bidi="ar-SA"/>
              </w:rPr>
              <w:t>-</w:t>
            </w:r>
            <w:r>
              <w:rPr>
                <w:rFonts w:hint="eastAsia" w:ascii="仿宋" w:hAnsi="仿宋" w:eastAsia="仿宋" w:cs="仿宋"/>
                <w:kern w:val="0"/>
                <w:sz w:val="21"/>
                <w:szCs w:val="21"/>
                <w:lang w:val="en-US" w:eastAsia="zh-CN" w:bidi="ar-SA"/>
              </w:rPr>
              <w:t>12</w:t>
            </w:r>
            <w:r>
              <w:rPr>
                <w:rFonts w:hint="eastAsia" w:ascii="仿宋" w:hAnsi="仿宋" w:eastAsia="仿宋" w:cs="仿宋"/>
                <w:kern w:val="0"/>
                <w:sz w:val="21"/>
                <w:szCs w:val="21"/>
                <w:lang w:val="en-GB" w:eastAsia="zh-CN" w:bidi="ar-SA"/>
              </w:rPr>
              <w:t>分；</w:t>
            </w:r>
          </w:p>
          <w:p w14:paraId="768D78D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1"/>
                <w:szCs w:val="21"/>
                <w:lang w:val="en-GB" w:eastAsia="zh-CN" w:bidi="ar-SA"/>
              </w:rPr>
            </w:pPr>
            <w:r>
              <w:rPr>
                <w:rFonts w:hint="eastAsia" w:ascii="仿宋" w:hAnsi="仿宋" w:eastAsia="仿宋" w:cs="仿宋"/>
                <w:kern w:val="0"/>
                <w:sz w:val="21"/>
                <w:szCs w:val="21"/>
                <w:lang w:val="en-GB" w:eastAsia="zh-CN" w:bidi="ar-SA"/>
              </w:rPr>
              <w:t>3、项目进度计划及保证措施不合理或不明确，安装调试方案、验收标及计划可行性缺漏较多的，得1-</w:t>
            </w:r>
            <w:r>
              <w:rPr>
                <w:rFonts w:hint="eastAsia" w:ascii="仿宋" w:hAnsi="仿宋" w:eastAsia="仿宋" w:cs="仿宋"/>
                <w:kern w:val="0"/>
                <w:sz w:val="21"/>
                <w:szCs w:val="21"/>
                <w:lang w:val="en-US" w:eastAsia="zh-CN" w:bidi="ar-SA"/>
              </w:rPr>
              <w:t>4</w:t>
            </w:r>
            <w:r>
              <w:rPr>
                <w:rFonts w:hint="eastAsia" w:ascii="仿宋" w:hAnsi="仿宋" w:eastAsia="仿宋" w:cs="仿宋"/>
                <w:kern w:val="0"/>
                <w:sz w:val="21"/>
                <w:szCs w:val="21"/>
                <w:lang w:val="en-GB" w:eastAsia="zh-CN" w:bidi="ar-SA"/>
              </w:rPr>
              <w:t>分；</w:t>
            </w:r>
          </w:p>
          <w:p w14:paraId="63F24DF9">
            <w:pPr>
              <w:keepNext w:val="0"/>
              <w:keepLines w:val="0"/>
              <w:pageBreakBefore w:val="0"/>
              <w:widowControl w:val="0"/>
              <w:kinsoku/>
              <w:wordWrap/>
              <w:overflowPunct/>
              <w:topLinePunct w:val="0"/>
              <w:autoSpaceDE/>
              <w:autoSpaceDN/>
              <w:bidi w:val="0"/>
              <w:adjustRightInd/>
              <w:snapToGrid/>
              <w:spacing w:line="240" w:lineRule="auto"/>
              <w:ind w:right="57" w:rightChars="27"/>
              <w:textAlignment w:val="auto"/>
              <w:rPr>
                <w:rFonts w:hint="eastAsia" w:ascii="仿宋" w:hAnsi="仿宋" w:eastAsia="仿宋" w:cs="仿宋"/>
                <w:bCs/>
                <w:color w:val="000000"/>
                <w:sz w:val="21"/>
                <w:szCs w:val="21"/>
              </w:rPr>
            </w:pPr>
            <w:r>
              <w:rPr>
                <w:rFonts w:hint="eastAsia" w:ascii="仿宋" w:hAnsi="仿宋" w:eastAsia="仿宋" w:cs="仿宋"/>
                <w:kern w:val="0"/>
                <w:sz w:val="21"/>
                <w:szCs w:val="21"/>
                <w:lang w:val="en-GB" w:eastAsia="zh-CN" w:bidi="ar-SA"/>
              </w:rPr>
              <w:t>4、未提供相应内容，不得分。</w:t>
            </w:r>
          </w:p>
        </w:tc>
      </w:tr>
      <w:tr w14:paraId="3C22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64" w:type="dxa"/>
            <w:vMerge w:val="continue"/>
            <w:noWrap w:val="0"/>
            <w:vAlign w:val="center"/>
          </w:tcPr>
          <w:p w14:paraId="4AA815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Cs/>
                <w:sz w:val="21"/>
                <w:szCs w:val="21"/>
                <w:highlight w:val="yellow"/>
              </w:rPr>
            </w:pPr>
          </w:p>
        </w:tc>
        <w:tc>
          <w:tcPr>
            <w:tcW w:w="1144" w:type="dxa"/>
            <w:shd w:val="clear" w:color="auto" w:fill="auto"/>
            <w:noWrap w:val="0"/>
            <w:vAlign w:val="center"/>
          </w:tcPr>
          <w:p w14:paraId="2DFB8B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Cs/>
                <w:kern w:val="0"/>
                <w:sz w:val="21"/>
                <w:szCs w:val="21"/>
                <w:highlight w:val="yellow"/>
                <w:lang w:val="en-US" w:eastAsia="zh-CN" w:bidi="ar-SA"/>
              </w:rPr>
            </w:pPr>
            <w:r>
              <w:rPr>
                <w:rFonts w:hint="eastAsia" w:ascii="仿宋" w:hAnsi="仿宋" w:eastAsia="仿宋" w:cs="仿宋"/>
                <w:sz w:val="21"/>
                <w:szCs w:val="21"/>
              </w:rPr>
              <w:t>售后服务</w:t>
            </w:r>
          </w:p>
        </w:tc>
        <w:tc>
          <w:tcPr>
            <w:tcW w:w="853" w:type="dxa"/>
            <w:shd w:val="clear" w:color="auto" w:fill="auto"/>
            <w:noWrap w:val="0"/>
            <w:vAlign w:val="center"/>
          </w:tcPr>
          <w:p w14:paraId="724764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1"/>
                <w:szCs w:val="21"/>
                <w:lang w:val="en-GB" w:eastAsia="zh-CN" w:bidi="ar-SA"/>
              </w:rPr>
            </w:pPr>
            <w:r>
              <w:rPr>
                <w:rFonts w:hint="eastAsia" w:ascii="仿宋" w:hAnsi="仿宋" w:eastAsia="仿宋" w:cs="仿宋"/>
                <w:sz w:val="21"/>
                <w:szCs w:val="21"/>
              </w:rPr>
              <w:t>10</w:t>
            </w:r>
            <w:r>
              <w:rPr>
                <w:rFonts w:hint="eastAsia" w:ascii="仿宋" w:hAnsi="仿宋" w:eastAsia="仿宋" w:cs="仿宋"/>
                <w:sz w:val="21"/>
                <w:szCs w:val="21"/>
                <w:lang w:val="en-GB"/>
              </w:rPr>
              <w:t>分</w:t>
            </w:r>
          </w:p>
        </w:tc>
        <w:tc>
          <w:tcPr>
            <w:tcW w:w="5978" w:type="dxa"/>
            <w:shd w:val="clear" w:color="auto" w:fill="auto"/>
            <w:noWrap w:val="0"/>
            <w:vAlign w:val="center"/>
          </w:tcPr>
          <w:p w14:paraId="40B70B8B">
            <w:pPr>
              <w:pStyle w:val="1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kern w:val="0"/>
                <w:sz w:val="21"/>
                <w:szCs w:val="21"/>
                <w:lang w:val="en-GB" w:eastAsia="zh-CN" w:bidi="ar-SA"/>
              </w:rPr>
            </w:pPr>
            <w:r>
              <w:rPr>
                <w:rFonts w:hint="eastAsia" w:ascii="仿宋" w:hAnsi="仿宋" w:eastAsia="仿宋" w:cs="仿宋"/>
                <w:sz w:val="21"/>
                <w:szCs w:val="21"/>
                <w:lang w:val="en-GB"/>
              </w:rPr>
              <w:t>售后服务方案完善、维护能力强的，得</w:t>
            </w:r>
            <w:r>
              <w:rPr>
                <w:rFonts w:hint="eastAsia" w:ascii="仿宋" w:hAnsi="仿宋" w:eastAsia="仿宋" w:cs="仿宋"/>
                <w:sz w:val="21"/>
                <w:szCs w:val="21"/>
              </w:rPr>
              <w:t>6</w:t>
            </w:r>
            <w:r>
              <w:rPr>
                <w:rFonts w:hint="eastAsia" w:ascii="仿宋" w:hAnsi="仿宋" w:eastAsia="仿宋" w:cs="仿宋"/>
                <w:sz w:val="21"/>
                <w:szCs w:val="21"/>
                <w:lang w:val="en-GB"/>
              </w:rPr>
              <w:t>-</w:t>
            </w:r>
            <w:r>
              <w:rPr>
                <w:rFonts w:hint="eastAsia" w:ascii="仿宋" w:hAnsi="仿宋" w:eastAsia="仿宋" w:cs="仿宋"/>
                <w:sz w:val="21"/>
                <w:szCs w:val="21"/>
              </w:rPr>
              <w:t>10</w:t>
            </w:r>
            <w:r>
              <w:rPr>
                <w:rFonts w:hint="eastAsia" w:ascii="仿宋" w:hAnsi="仿宋" w:eastAsia="仿宋" w:cs="仿宋"/>
                <w:sz w:val="21"/>
                <w:szCs w:val="21"/>
                <w:lang w:val="en-GB"/>
              </w:rPr>
              <w:t>分；方案欠佳、维护能力较弱的，得</w:t>
            </w:r>
            <w:r>
              <w:rPr>
                <w:rFonts w:hint="eastAsia" w:ascii="仿宋" w:hAnsi="仿宋" w:eastAsia="仿宋" w:cs="仿宋"/>
                <w:sz w:val="21"/>
                <w:szCs w:val="21"/>
              </w:rPr>
              <w:t>0</w:t>
            </w:r>
            <w:r>
              <w:rPr>
                <w:rFonts w:hint="eastAsia" w:ascii="仿宋" w:hAnsi="仿宋" w:eastAsia="仿宋" w:cs="仿宋"/>
                <w:sz w:val="21"/>
                <w:szCs w:val="21"/>
                <w:lang w:val="en-GB"/>
              </w:rPr>
              <w:t>-</w:t>
            </w:r>
            <w:r>
              <w:rPr>
                <w:rFonts w:hint="eastAsia" w:ascii="仿宋" w:hAnsi="仿宋" w:eastAsia="仿宋" w:cs="仿宋"/>
                <w:sz w:val="21"/>
                <w:szCs w:val="21"/>
              </w:rPr>
              <w:t>5</w:t>
            </w:r>
            <w:r>
              <w:rPr>
                <w:rFonts w:hint="eastAsia" w:ascii="仿宋" w:hAnsi="仿宋" w:eastAsia="仿宋" w:cs="仿宋"/>
                <w:sz w:val="21"/>
                <w:szCs w:val="21"/>
                <w:lang w:val="en-GB"/>
              </w:rPr>
              <w:t>分。</w:t>
            </w:r>
          </w:p>
        </w:tc>
      </w:tr>
      <w:tr w14:paraId="552C1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564" w:type="dxa"/>
            <w:vMerge w:val="continue"/>
            <w:noWrap w:val="0"/>
            <w:vAlign w:val="center"/>
          </w:tcPr>
          <w:p w14:paraId="29EA80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Cs/>
                <w:sz w:val="21"/>
                <w:szCs w:val="21"/>
                <w:highlight w:val="yellow"/>
              </w:rPr>
            </w:pPr>
          </w:p>
        </w:tc>
        <w:tc>
          <w:tcPr>
            <w:tcW w:w="1144" w:type="dxa"/>
            <w:noWrap w:val="0"/>
            <w:vAlign w:val="center"/>
          </w:tcPr>
          <w:p w14:paraId="791672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1"/>
                <w:szCs w:val="21"/>
              </w:rPr>
            </w:pPr>
            <w:r>
              <w:rPr>
                <w:rFonts w:hint="eastAsia" w:ascii="仿宋" w:hAnsi="仿宋" w:eastAsia="仿宋" w:cs="仿宋"/>
                <w:sz w:val="21"/>
                <w:szCs w:val="21"/>
              </w:rPr>
              <w:t>类似项目业绩</w:t>
            </w:r>
          </w:p>
        </w:tc>
        <w:tc>
          <w:tcPr>
            <w:tcW w:w="853" w:type="dxa"/>
            <w:noWrap w:val="0"/>
            <w:vAlign w:val="center"/>
          </w:tcPr>
          <w:p w14:paraId="48FA2B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5</w:t>
            </w:r>
            <w:r>
              <w:rPr>
                <w:rFonts w:hint="eastAsia" w:ascii="仿宋" w:hAnsi="仿宋" w:eastAsia="仿宋" w:cs="仿宋"/>
                <w:sz w:val="21"/>
                <w:szCs w:val="21"/>
              </w:rPr>
              <w:t>分</w:t>
            </w:r>
          </w:p>
        </w:tc>
        <w:tc>
          <w:tcPr>
            <w:tcW w:w="5978" w:type="dxa"/>
            <w:noWrap w:val="0"/>
            <w:vAlign w:val="center"/>
          </w:tcPr>
          <w:p w14:paraId="040F650B">
            <w:pPr>
              <w:pStyle w:val="1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1"/>
                <w:szCs w:val="21"/>
                <w:lang w:val="en-GB"/>
              </w:rPr>
            </w:pPr>
            <w:r>
              <w:rPr>
                <w:rFonts w:hint="eastAsia" w:ascii="仿宋" w:hAnsi="仿宋" w:eastAsia="仿宋" w:cs="仿宋"/>
                <w:sz w:val="21"/>
                <w:szCs w:val="21"/>
              </w:rPr>
              <w:t>近三年</w:t>
            </w:r>
            <w:r>
              <w:rPr>
                <w:rFonts w:hint="eastAsia" w:ascii="仿宋" w:hAnsi="仿宋" w:eastAsia="仿宋" w:cs="仿宋"/>
                <w:sz w:val="21"/>
                <w:szCs w:val="21"/>
                <w:lang w:val="en-GB"/>
              </w:rPr>
              <w:t>，具有类似项目业绩，以提供的合同或中标通知书为准：每提供1个得</w:t>
            </w:r>
            <w:r>
              <w:rPr>
                <w:rFonts w:hint="eastAsia" w:ascii="仿宋" w:hAnsi="仿宋" w:eastAsia="仿宋" w:cs="仿宋"/>
                <w:sz w:val="21"/>
                <w:szCs w:val="21"/>
                <w:lang w:val="en-US" w:eastAsia="zh-CN"/>
              </w:rPr>
              <w:t>1</w:t>
            </w:r>
            <w:r>
              <w:rPr>
                <w:rFonts w:hint="eastAsia" w:ascii="仿宋" w:hAnsi="仿宋" w:eastAsia="仿宋" w:cs="仿宋"/>
                <w:sz w:val="21"/>
                <w:szCs w:val="21"/>
                <w:lang w:val="en-GB"/>
              </w:rPr>
              <w:t>分，满分</w:t>
            </w:r>
            <w:r>
              <w:rPr>
                <w:rFonts w:hint="eastAsia" w:ascii="仿宋" w:hAnsi="仿宋" w:eastAsia="仿宋" w:cs="仿宋"/>
                <w:sz w:val="21"/>
                <w:szCs w:val="21"/>
                <w:lang w:val="en-US" w:eastAsia="zh-CN"/>
              </w:rPr>
              <w:t>5</w:t>
            </w:r>
            <w:r>
              <w:rPr>
                <w:rFonts w:hint="eastAsia" w:ascii="仿宋" w:hAnsi="仿宋" w:eastAsia="仿宋" w:cs="仿宋"/>
                <w:sz w:val="21"/>
                <w:szCs w:val="21"/>
                <w:lang w:val="en-GB"/>
              </w:rPr>
              <w:t>分。</w:t>
            </w:r>
          </w:p>
        </w:tc>
      </w:tr>
    </w:tbl>
    <w:p w14:paraId="0453857D">
      <w:pPr>
        <w:rPr>
          <w:rFonts w:hint="eastAsia" w:eastAsiaTheme="minorEastAsia"/>
          <w:sz w:val="24"/>
          <w:szCs w:val="28"/>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872714"/>
    <w:multiLevelType w:val="multilevel"/>
    <w:tmpl w:val="3D872714"/>
    <w:lvl w:ilvl="0" w:tentative="0">
      <w:start w:val="1"/>
      <w:numFmt w:val="decimal"/>
      <w:lvlText w:val="%1"/>
      <w:lvlJc w:val="left"/>
      <w:pPr>
        <w:tabs>
          <w:tab w:val="left" w:pos="929"/>
        </w:tabs>
        <w:ind w:left="929" w:hanging="480"/>
      </w:pPr>
    </w:lvl>
    <w:lvl w:ilvl="1" w:tentative="0">
      <w:start w:val="1"/>
      <w:numFmt w:val="lowerLetter"/>
      <w:lvlText w:val="%2)"/>
      <w:lvlJc w:val="left"/>
      <w:pPr>
        <w:tabs>
          <w:tab w:val="left" w:pos="1289"/>
        </w:tabs>
        <w:ind w:left="1289" w:hanging="420"/>
      </w:pPr>
    </w:lvl>
    <w:lvl w:ilvl="2" w:tentative="0">
      <w:start w:val="1"/>
      <w:numFmt w:val="lowerRoman"/>
      <w:lvlText w:val="%3."/>
      <w:lvlJc w:val="right"/>
      <w:pPr>
        <w:tabs>
          <w:tab w:val="left" w:pos="1709"/>
        </w:tabs>
        <w:ind w:left="1709" w:hanging="420"/>
      </w:pPr>
    </w:lvl>
    <w:lvl w:ilvl="3" w:tentative="0">
      <w:start w:val="1"/>
      <w:numFmt w:val="decimal"/>
      <w:lvlText w:val="%4."/>
      <w:lvlJc w:val="left"/>
      <w:pPr>
        <w:tabs>
          <w:tab w:val="left" w:pos="2129"/>
        </w:tabs>
        <w:ind w:left="2129" w:hanging="420"/>
      </w:pPr>
    </w:lvl>
    <w:lvl w:ilvl="4" w:tentative="0">
      <w:start w:val="1"/>
      <w:numFmt w:val="lowerLetter"/>
      <w:lvlText w:val="%5)"/>
      <w:lvlJc w:val="left"/>
      <w:pPr>
        <w:tabs>
          <w:tab w:val="left" w:pos="2549"/>
        </w:tabs>
        <w:ind w:left="2549" w:hanging="420"/>
      </w:pPr>
    </w:lvl>
    <w:lvl w:ilvl="5" w:tentative="0">
      <w:start w:val="1"/>
      <w:numFmt w:val="lowerRoman"/>
      <w:lvlText w:val="%6."/>
      <w:lvlJc w:val="right"/>
      <w:pPr>
        <w:tabs>
          <w:tab w:val="left" w:pos="2969"/>
        </w:tabs>
        <w:ind w:left="2969" w:hanging="420"/>
      </w:pPr>
    </w:lvl>
    <w:lvl w:ilvl="6" w:tentative="0">
      <w:start w:val="1"/>
      <w:numFmt w:val="decimal"/>
      <w:lvlText w:val="%7."/>
      <w:lvlJc w:val="left"/>
      <w:pPr>
        <w:tabs>
          <w:tab w:val="left" w:pos="3389"/>
        </w:tabs>
        <w:ind w:left="3389" w:hanging="420"/>
      </w:pPr>
    </w:lvl>
    <w:lvl w:ilvl="7" w:tentative="0">
      <w:start w:val="1"/>
      <w:numFmt w:val="lowerLetter"/>
      <w:lvlText w:val="%8)"/>
      <w:lvlJc w:val="left"/>
      <w:pPr>
        <w:tabs>
          <w:tab w:val="left" w:pos="3809"/>
        </w:tabs>
        <w:ind w:left="3809" w:hanging="420"/>
      </w:pPr>
    </w:lvl>
    <w:lvl w:ilvl="8" w:tentative="0">
      <w:start w:val="1"/>
      <w:numFmt w:val="lowerRoman"/>
      <w:lvlText w:val="%9."/>
      <w:lvlJc w:val="right"/>
      <w:pPr>
        <w:tabs>
          <w:tab w:val="left" w:pos="4229"/>
        </w:tabs>
        <w:ind w:left="4229" w:hanging="420"/>
      </w:pPr>
    </w:lvl>
  </w:abstractNum>
  <w:abstractNum w:abstractNumId="1">
    <w:nsid w:val="61862777"/>
    <w:multiLevelType w:val="multilevel"/>
    <w:tmpl w:val="61862777"/>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780"/>
        </w:tabs>
        <w:ind w:left="780" w:hanging="420"/>
      </w:pPr>
    </w:lvl>
    <w:lvl w:ilvl="2" w:tentative="0">
      <w:start w:val="1"/>
      <w:numFmt w:val="lowerRoman"/>
      <w:lvlText w:val="%3."/>
      <w:lvlJc w:val="right"/>
      <w:pPr>
        <w:tabs>
          <w:tab w:val="left" w:pos="1200"/>
        </w:tabs>
        <w:ind w:left="1200" w:hanging="420"/>
      </w:pPr>
    </w:lvl>
    <w:lvl w:ilvl="3" w:tentative="0">
      <w:start w:val="1"/>
      <w:numFmt w:val="decimal"/>
      <w:lvlText w:val="%4."/>
      <w:lvlJc w:val="left"/>
      <w:pPr>
        <w:tabs>
          <w:tab w:val="left" w:pos="1620"/>
        </w:tabs>
        <w:ind w:left="1620" w:hanging="420"/>
      </w:pPr>
    </w:lvl>
    <w:lvl w:ilvl="4" w:tentative="0">
      <w:start w:val="1"/>
      <w:numFmt w:val="lowerLetter"/>
      <w:lvlText w:val="%5)"/>
      <w:lvlJc w:val="left"/>
      <w:pPr>
        <w:tabs>
          <w:tab w:val="left" w:pos="2040"/>
        </w:tabs>
        <w:ind w:left="2040" w:hanging="420"/>
      </w:pPr>
    </w:lvl>
    <w:lvl w:ilvl="5" w:tentative="0">
      <w:start w:val="1"/>
      <w:numFmt w:val="lowerRoman"/>
      <w:lvlText w:val="%6."/>
      <w:lvlJc w:val="right"/>
      <w:pPr>
        <w:tabs>
          <w:tab w:val="left" w:pos="2460"/>
        </w:tabs>
        <w:ind w:left="2460" w:hanging="420"/>
      </w:pPr>
    </w:lvl>
    <w:lvl w:ilvl="6" w:tentative="0">
      <w:start w:val="1"/>
      <w:numFmt w:val="decimal"/>
      <w:lvlText w:val="%7."/>
      <w:lvlJc w:val="left"/>
      <w:pPr>
        <w:tabs>
          <w:tab w:val="left" w:pos="2880"/>
        </w:tabs>
        <w:ind w:left="2880" w:hanging="420"/>
      </w:pPr>
    </w:lvl>
    <w:lvl w:ilvl="7" w:tentative="0">
      <w:start w:val="1"/>
      <w:numFmt w:val="lowerLetter"/>
      <w:lvlText w:val="%8)"/>
      <w:lvlJc w:val="left"/>
      <w:pPr>
        <w:tabs>
          <w:tab w:val="left" w:pos="3300"/>
        </w:tabs>
        <w:ind w:left="3300" w:hanging="420"/>
      </w:pPr>
    </w:lvl>
    <w:lvl w:ilvl="8" w:tentative="0">
      <w:start w:val="1"/>
      <w:numFmt w:val="lowerRoman"/>
      <w:lvlText w:val="%9."/>
      <w:lvlJc w:val="right"/>
      <w:pPr>
        <w:tabs>
          <w:tab w:val="left" w:pos="3720"/>
        </w:tabs>
        <w:ind w:left="372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426"/>
    <w:rsid w:val="000A6EF5"/>
    <w:rsid w:val="00192128"/>
    <w:rsid w:val="00224C62"/>
    <w:rsid w:val="0022620E"/>
    <w:rsid w:val="002571CD"/>
    <w:rsid w:val="00271B9F"/>
    <w:rsid w:val="00295672"/>
    <w:rsid w:val="00334C8B"/>
    <w:rsid w:val="003608F5"/>
    <w:rsid w:val="0038230C"/>
    <w:rsid w:val="00386DEB"/>
    <w:rsid w:val="003A1118"/>
    <w:rsid w:val="003A489D"/>
    <w:rsid w:val="0042309A"/>
    <w:rsid w:val="0042712B"/>
    <w:rsid w:val="004921F4"/>
    <w:rsid w:val="004B5606"/>
    <w:rsid w:val="004D14CB"/>
    <w:rsid w:val="00526455"/>
    <w:rsid w:val="00567D8E"/>
    <w:rsid w:val="005C611D"/>
    <w:rsid w:val="005D1F91"/>
    <w:rsid w:val="006056F4"/>
    <w:rsid w:val="00615854"/>
    <w:rsid w:val="006565D3"/>
    <w:rsid w:val="00667DC2"/>
    <w:rsid w:val="00695CC4"/>
    <w:rsid w:val="006A74A7"/>
    <w:rsid w:val="006B6966"/>
    <w:rsid w:val="006F53D0"/>
    <w:rsid w:val="00703426"/>
    <w:rsid w:val="007A4D95"/>
    <w:rsid w:val="007B02AB"/>
    <w:rsid w:val="007D4C9F"/>
    <w:rsid w:val="007F47B1"/>
    <w:rsid w:val="00833A80"/>
    <w:rsid w:val="008B4BFF"/>
    <w:rsid w:val="00A03CC5"/>
    <w:rsid w:val="00A06FDF"/>
    <w:rsid w:val="00A1065B"/>
    <w:rsid w:val="00AD5E87"/>
    <w:rsid w:val="00B2499C"/>
    <w:rsid w:val="00B31167"/>
    <w:rsid w:val="00B70221"/>
    <w:rsid w:val="00C2377A"/>
    <w:rsid w:val="00C32533"/>
    <w:rsid w:val="00C37FF8"/>
    <w:rsid w:val="00C50E93"/>
    <w:rsid w:val="00C741E9"/>
    <w:rsid w:val="00CC0C7A"/>
    <w:rsid w:val="00E15480"/>
    <w:rsid w:val="00E63F4C"/>
    <w:rsid w:val="00E73EDD"/>
    <w:rsid w:val="00EF2A00"/>
    <w:rsid w:val="00F067C6"/>
    <w:rsid w:val="00F1232F"/>
    <w:rsid w:val="03EF3A51"/>
    <w:rsid w:val="04221DEB"/>
    <w:rsid w:val="048B3E34"/>
    <w:rsid w:val="05F405DA"/>
    <w:rsid w:val="08864C15"/>
    <w:rsid w:val="09B71227"/>
    <w:rsid w:val="0B571358"/>
    <w:rsid w:val="0BE706CF"/>
    <w:rsid w:val="0CFB3759"/>
    <w:rsid w:val="0D383165"/>
    <w:rsid w:val="0E681BDB"/>
    <w:rsid w:val="10B36940"/>
    <w:rsid w:val="115630D4"/>
    <w:rsid w:val="12902616"/>
    <w:rsid w:val="17257485"/>
    <w:rsid w:val="18D62728"/>
    <w:rsid w:val="1C952594"/>
    <w:rsid w:val="1EC12041"/>
    <w:rsid w:val="21004E0A"/>
    <w:rsid w:val="293E58A2"/>
    <w:rsid w:val="2F4B129A"/>
    <w:rsid w:val="31464ABB"/>
    <w:rsid w:val="32F12E15"/>
    <w:rsid w:val="350A66D4"/>
    <w:rsid w:val="3F3E21A0"/>
    <w:rsid w:val="42666D6B"/>
    <w:rsid w:val="46A316A1"/>
    <w:rsid w:val="4A847F36"/>
    <w:rsid w:val="4B702A09"/>
    <w:rsid w:val="4F350E6C"/>
    <w:rsid w:val="50C83998"/>
    <w:rsid w:val="563C7296"/>
    <w:rsid w:val="567E2422"/>
    <w:rsid w:val="5697353F"/>
    <w:rsid w:val="56D50FB4"/>
    <w:rsid w:val="5AC643F3"/>
    <w:rsid w:val="5AD408A0"/>
    <w:rsid w:val="5BBC75A4"/>
    <w:rsid w:val="5DBF7FC1"/>
    <w:rsid w:val="5EE5503B"/>
    <w:rsid w:val="61B8623F"/>
    <w:rsid w:val="65C63B99"/>
    <w:rsid w:val="6684448A"/>
    <w:rsid w:val="66D60CC4"/>
    <w:rsid w:val="675F3C06"/>
    <w:rsid w:val="6A6232BC"/>
    <w:rsid w:val="71C239DA"/>
    <w:rsid w:val="75D4092E"/>
    <w:rsid w:val="783E4EFC"/>
    <w:rsid w:val="7AEC7106"/>
    <w:rsid w:val="7BCC20C9"/>
    <w:rsid w:val="7C783131"/>
    <w:rsid w:val="FD2FB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Body Text 3"/>
    <w:basedOn w:val="1"/>
    <w:qFormat/>
    <w:uiPriority w:val="0"/>
    <w:pPr>
      <w:jc w:val="center"/>
    </w:pPr>
  </w:style>
  <w:style w:type="paragraph" w:styleId="13">
    <w:name w:val="Plain Text"/>
    <w:basedOn w:val="1"/>
    <w:qFormat/>
    <w:uiPriority w:val="0"/>
    <w:rPr>
      <w:rFonts w:ascii="宋体" w:hAnsi="Courier New" w:eastAsia="宋体"/>
      <w:kern w:val="0"/>
      <w:sz w:val="20"/>
    </w:rPr>
  </w:style>
  <w:style w:type="paragraph" w:styleId="14">
    <w:name w:val="footer"/>
    <w:basedOn w:val="1"/>
    <w:link w:val="43"/>
    <w:unhideWhenUsed/>
    <w:qFormat/>
    <w:uiPriority w:val="99"/>
    <w:pPr>
      <w:tabs>
        <w:tab w:val="center" w:pos="4153"/>
        <w:tab w:val="right" w:pos="8306"/>
      </w:tabs>
      <w:snapToGrid w:val="0"/>
      <w:jc w:val="left"/>
    </w:pPr>
    <w:rPr>
      <w:sz w:val="18"/>
      <w:szCs w:val="18"/>
    </w:rPr>
  </w:style>
  <w:style w:type="paragraph" w:styleId="15">
    <w:name w:val="header"/>
    <w:basedOn w:val="1"/>
    <w:link w:val="42"/>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qFormat/>
    <w:uiPriority w:val="0"/>
    <w:pPr>
      <w:tabs>
        <w:tab w:val="left" w:pos="0"/>
      </w:tabs>
      <w:spacing w:line="500" w:lineRule="exact"/>
    </w:pPr>
    <w:rPr>
      <w:rFonts w:eastAsia="仿宋_GB2312"/>
      <w:sz w:val="30"/>
    </w:rPr>
  </w:style>
  <w:style w:type="paragraph" w:styleId="1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9">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22"/>
    <w:rPr>
      <w:b/>
    </w:rPr>
  </w:style>
  <w:style w:type="character" w:customStyle="1" w:styleId="24">
    <w:name w:val="标题 3 字符"/>
    <w:basedOn w:val="22"/>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5">
    <w:name w:val="标题 1 字符"/>
    <w:basedOn w:val="22"/>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2"/>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4 字符"/>
    <w:basedOn w:val="22"/>
    <w:link w:val="5"/>
    <w:semiHidden/>
    <w:qFormat/>
    <w:uiPriority w:val="9"/>
    <w:rPr>
      <w:rFonts w:cstheme="majorBidi"/>
      <w:color w:val="104862" w:themeColor="accent1" w:themeShade="BF"/>
      <w:sz w:val="28"/>
      <w:szCs w:val="28"/>
    </w:rPr>
  </w:style>
  <w:style w:type="character" w:customStyle="1" w:styleId="28">
    <w:name w:val="标题 5 字符"/>
    <w:basedOn w:val="22"/>
    <w:link w:val="6"/>
    <w:semiHidden/>
    <w:qFormat/>
    <w:uiPriority w:val="9"/>
    <w:rPr>
      <w:rFonts w:cstheme="majorBidi"/>
      <w:color w:val="104862" w:themeColor="accent1" w:themeShade="BF"/>
      <w:sz w:val="24"/>
      <w:szCs w:val="24"/>
    </w:rPr>
  </w:style>
  <w:style w:type="character" w:customStyle="1" w:styleId="29">
    <w:name w:val="标题 6 字符"/>
    <w:basedOn w:val="22"/>
    <w:link w:val="7"/>
    <w:semiHidden/>
    <w:qFormat/>
    <w:uiPriority w:val="9"/>
    <w:rPr>
      <w:rFonts w:cstheme="majorBidi"/>
      <w:b/>
      <w:bCs/>
      <w:color w:val="104862" w:themeColor="accent1" w:themeShade="BF"/>
    </w:rPr>
  </w:style>
  <w:style w:type="character" w:customStyle="1" w:styleId="30">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2"/>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2"/>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2"/>
    <w:link w:val="39"/>
    <w:qFormat/>
    <w:uiPriority w:val="30"/>
    <w:rPr>
      <w:i/>
      <w:iCs/>
      <w:color w:val="104862" w:themeColor="accent1" w:themeShade="BF"/>
    </w:rPr>
  </w:style>
  <w:style w:type="character" w:customStyle="1" w:styleId="41">
    <w:name w:val="明显参考1"/>
    <w:basedOn w:val="22"/>
    <w:qFormat/>
    <w:uiPriority w:val="32"/>
    <w:rPr>
      <w:b/>
      <w:bCs/>
      <w:smallCaps/>
      <w:color w:val="104862" w:themeColor="accent1" w:themeShade="BF"/>
      <w:spacing w:val="5"/>
    </w:rPr>
  </w:style>
  <w:style w:type="character" w:customStyle="1" w:styleId="42">
    <w:name w:val="页眉 字符"/>
    <w:basedOn w:val="22"/>
    <w:link w:val="15"/>
    <w:qFormat/>
    <w:uiPriority w:val="99"/>
    <w:rPr>
      <w:sz w:val="18"/>
      <w:szCs w:val="18"/>
    </w:rPr>
  </w:style>
  <w:style w:type="character" w:customStyle="1" w:styleId="43">
    <w:name w:val="页脚 字符"/>
    <w:basedOn w:val="22"/>
    <w:link w:val="14"/>
    <w:qFormat/>
    <w:uiPriority w:val="99"/>
    <w:rPr>
      <w:sz w:val="18"/>
      <w:szCs w:val="18"/>
    </w:rPr>
  </w:style>
  <w:style w:type="character" w:customStyle="1" w:styleId="44">
    <w:name w:val="font31"/>
    <w:basedOn w:val="22"/>
    <w:autoRedefine/>
    <w:qFormat/>
    <w:uiPriority w:val="0"/>
    <w:rPr>
      <w:rFonts w:hint="default" w:ascii="Calibri" w:hAnsi="Calibri" w:cs="Calibri"/>
      <w:color w:val="000000"/>
      <w:sz w:val="21"/>
      <w:szCs w:val="21"/>
      <w:u w:val="none"/>
    </w:rPr>
  </w:style>
  <w:style w:type="character" w:customStyle="1" w:styleId="45">
    <w:name w:val="font41"/>
    <w:basedOn w:val="2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2987</Words>
  <Characters>3059</Characters>
  <Lines>239</Lines>
  <Paragraphs>246</Paragraphs>
  <TotalTime>92</TotalTime>
  <ScaleCrop>false</ScaleCrop>
  <LinksUpToDate>false</LinksUpToDate>
  <CharactersWithSpaces>3276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2025-09-18T22:12:00Z</dcterms:created>
  <dc:creator>佳靓 钱</dc:creator>
  <cp:lastModifiedBy>KK</cp:lastModifiedBy>
  <dcterms:modified xsi:type="dcterms:W3CDTF">2026-10-13T05:28:12Z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eyJoZGlkIjoiMmE0Njc2MjM1ODRkODNkOGM1ZDBjYTQxYTM0MWFiMWEiLCJ1c2VySWQiOiI0MzM5ODA5NTEifQ==</vt:lpwstr>
  </property>
  <property fmtid="{D5CDD505-2E9C-101B-9397-08002B2CF9AE}" pid="3" name="KSOProductBuildVer">
    <vt:lpwstr>2052-12.1.0.28505</vt:lpwstr>
  </property>
  <property fmtid="{D5CDD505-2E9C-101B-9397-08002B2CF9AE}" pid="4" name="ICV">
    <vt:lpwstr>4608E1DC953844C7A2E148B4591F6162_13</vt:lpwstr>
  </property>
</Properties>
</file>