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A124B">
      <w:pPr>
        <w:pStyle w:val="2"/>
        <w:spacing w:before="180" w:line="360" w:lineRule="auto"/>
        <w:jc w:val="center"/>
        <w:outlineLvl w:val="0"/>
        <w:rPr>
          <w:rFonts w:hint="eastAsia" w:ascii="宋体" w:hAnsi="宋体" w:eastAsia="宋体" w:cs="宋体"/>
          <w:sz w:val="21"/>
          <w:szCs w:val="21"/>
        </w:rPr>
      </w:pPr>
      <w:r>
        <w:rPr>
          <w:rFonts w:hint="eastAsia" w:cs="宋体"/>
          <w:b/>
          <w:bCs/>
          <w:spacing w:val="-4"/>
          <w:sz w:val="21"/>
          <w:szCs w:val="21"/>
          <w:lang w:eastAsia="zh-CN"/>
        </w:rPr>
        <w:t>人工智能实验校建设—教学资源(具身机器人、机器狗、对抗比赛机器人)项目</w:t>
      </w:r>
      <w:r>
        <w:rPr>
          <w:rFonts w:hint="eastAsia" w:ascii="宋体" w:hAnsi="宋体" w:eastAsia="宋体" w:cs="宋体"/>
          <w:b/>
          <w:bCs/>
          <w:spacing w:val="-4"/>
          <w:sz w:val="21"/>
          <w:szCs w:val="21"/>
        </w:rPr>
        <w:t>竞争性磋商公告</w:t>
      </w:r>
    </w:p>
    <w:p w14:paraId="068BA470">
      <w:pPr>
        <w:spacing w:line="360" w:lineRule="auto"/>
        <w:rPr>
          <w:rFonts w:hint="eastAsia" w:ascii="宋体" w:hAnsi="宋体" w:eastAsia="宋体" w:cs="宋体"/>
          <w:sz w:val="21"/>
          <w:szCs w:val="21"/>
        </w:rPr>
      </w:pPr>
    </w:p>
    <w:p w14:paraId="27EE72A6">
      <w:pPr>
        <w:spacing w:line="360" w:lineRule="auto"/>
        <w:rPr>
          <w:rFonts w:hint="eastAsia" w:ascii="宋体" w:hAnsi="宋体" w:eastAsia="宋体" w:cs="宋体"/>
          <w:sz w:val="21"/>
          <w:szCs w:val="21"/>
        </w:rPr>
      </w:pPr>
    </w:p>
    <w:p w14:paraId="649A2A14">
      <w:pPr>
        <w:pStyle w:val="2"/>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pacing w:val="-3"/>
          <w:sz w:val="21"/>
          <w:szCs w:val="21"/>
        </w:rPr>
        <w:t>根据《中华人民共和国政府采购法》及相关法律、法规之规定，</w:t>
      </w:r>
      <w:r>
        <w:rPr>
          <w:rFonts w:hint="eastAsia" w:ascii="宋体" w:hAnsi="宋体" w:eastAsia="宋体" w:cs="宋体"/>
          <w:spacing w:val="-4"/>
          <w:sz w:val="21"/>
          <w:szCs w:val="21"/>
          <w:lang w:eastAsia="zh-CN"/>
        </w:rPr>
        <w:t>上海健生教育配置招标有限公司</w:t>
      </w:r>
      <w:r>
        <w:rPr>
          <w:rFonts w:hint="eastAsia" w:ascii="宋体" w:hAnsi="宋体" w:eastAsia="宋体" w:cs="宋体"/>
          <w:sz w:val="21"/>
          <w:szCs w:val="21"/>
        </w:rPr>
        <w:t>受委托，对</w:t>
      </w:r>
      <w:r>
        <w:rPr>
          <w:rFonts w:hint="eastAsia" w:cs="宋体"/>
          <w:sz w:val="21"/>
          <w:szCs w:val="21"/>
          <w:lang w:eastAsia="zh-CN"/>
        </w:rPr>
        <w:t>人工智能实验校建设—教学资源(具身机器人、机器狗、对抗比赛机器人)项目</w:t>
      </w:r>
      <w:r>
        <w:rPr>
          <w:rFonts w:hint="eastAsia" w:ascii="宋体" w:hAnsi="宋体" w:eastAsia="宋体" w:cs="宋体"/>
          <w:spacing w:val="-1"/>
          <w:sz w:val="21"/>
          <w:szCs w:val="21"/>
        </w:rPr>
        <w:t>进行竞争性磋商采购，特邀请合格的供应商参加磋商。</w:t>
      </w:r>
    </w:p>
    <w:p w14:paraId="3136E443">
      <w:pPr>
        <w:pStyle w:val="2"/>
        <w:spacing w:line="360" w:lineRule="auto"/>
        <w:ind w:left="507"/>
        <w:rPr>
          <w:rFonts w:hint="eastAsia" w:ascii="宋体" w:hAnsi="宋体" w:eastAsia="宋体" w:cs="宋体"/>
          <w:sz w:val="21"/>
          <w:szCs w:val="21"/>
        </w:rPr>
      </w:pPr>
      <w:r>
        <w:rPr>
          <w:rFonts w:hint="eastAsia" w:ascii="宋体" w:hAnsi="宋体" w:eastAsia="宋体" w:cs="宋体"/>
          <w:b/>
          <w:bCs/>
          <w:spacing w:val="-4"/>
          <w:sz w:val="21"/>
          <w:szCs w:val="21"/>
        </w:rPr>
        <w:t>一、项目概况</w:t>
      </w:r>
    </w:p>
    <w:p w14:paraId="1E6BFF8B">
      <w:pPr>
        <w:pStyle w:val="2"/>
        <w:spacing w:before="182" w:line="360" w:lineRule="auto"/>
        <w:ind w:left="521"/>
        <w:rPr>
          <w:rFonts w:hint="eastAsia" w:ascii="宋体" w:hAnsi="宋体" w:eastAsia="宋体" w:cs="宋体"/>
          <w:sz w:val="21"/>
          <w:szCs w:val="21"/>
          <w:lang w:eastAsia="zh-CN"/>
        </w:rPr>
      </w:pPr>
      <w:r>
        <w:rPr>
          <w:rFonts w:hint="eastAsia" w:ascii="宋体" w:hAnsi="宋体" w:eastAsia="宋体" w:cs="宋体"/>
          <w:spacing w:val="-1"/>
          <w:sz w:val="21"/>
          <w:szCs w:val="21"/>
        </w:rPr>
        <w:t>1.项目名称：</w:t>
      </w:r>
      <w:r>
        <w:rPr>
          <w:rFonts w:hint="eastAsia" w:cs="宋体"/>
          <w:spacing w:val="-1"/>
          <w:sz w:val="21"/>
          <w:szCs w:val="21"/>
          <w:lang w:eastAsia="zh-CN"/>
        </w:rPr>
        <w:t>人工智能实验校建设—教学资源(具身机器人、机器狗、对抗比赛机器人)项目</w:t>
      </w:r>
    </w:p>
    <w:p w14:paraId="082F62B6">
      <w:pPr>
        <w:pStyle w:val="2"/>
        <w:spacing w:before="183" w:line="360" w:lineRule="auto"/>
        <w:ind w:left="506"/>
        <w:rPr>
          <w:rFonts w:hint="eastAsia" w:ascii="宋体" w:hAnsi="宋体" w:eastAsia="宋体" w:cs="宋体"/>
          <w:sz w:val="21"/>
          <w:szCs w:val="21"/>
          <w:lang w:eastAsia="zh-CN"/>
        </w:rPr>
      </w:pPr>
      <w:r>
        <w:rPr>
          <w:rFonts w:hint="eastAsia" w:ascii="宋体" w:hAnsi="宋体" w:eastAsia="宋体" w:cs="宋体"/>
          <w:spacing w:val="-1"/>
          <w:sz w:val="21"/>
          <w:szCs w:val="21"/>
        </w:rPr>
        <w:t>2.项目编号：</w:t>
      </w:r>
      <w:r>
        <w:rPr>
          <w:rFonts w:hint="eastAsia" w:cs="宋体"/>
          <w:spacing w:val="-1"/>
          <w:sz w:val="21"/>
          <w:szCs w:val="21"/>
          <w:lang w:eastAsia="zh-CN"/>
        </w:rPr>
        <w:t>JSCS26080781-N112</w:t>
      </w:r>
    </w:p>
    <w:p w14:paraId="6EC98629">
      <w:pPr>
        <w:pStyle w:val="2"/>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z w:val="21"/>
          <w:szCs w:val="21"/>
        </w:rPr>
        <w:t>3.预算金额：</w:t>
      </w:r>
      <w:r>
        <w:rPr>
          <w:rFonts w:hint="eastAsia" w:cs="宋体"/>
          <w:sz w:val="21"/>
          <w:szCs w:val="21"/>
          <w:lang w:val="en-US" w:eastAsia="zh-CN"/>
        </w:rPr>
        <w:t>36.4</w:t>
      </w:r>
      <w:r>
        <w:rPr>
          <w:rFonts w:hint="eastAsia" w:ascii="宋体" w:hAnsi="宋体" w:eastAsia="宋体" w:cs="宋体"/>
          <w:sz w:val="21"/>
          <w:szCs w:val="21"/>
          <w:lang w:val="en-US" w:eastAsia="zh-CN"/>
        </w:rPr>
        <w:t>万元</w:t>
      </w:r>
    </w:p>
    <w:p w14:paraId="7AB05379">
      <w:pPr>
        <w:pStyle w:val="2"/>
        <w:spacing w:before="78" w:line="360" w:lineRule="auto"/>
        <w:ind w:left="22" w:right="99" w:firstLine="480"/>
        <w:jc w:val="both"/>
        <w:rPr>
          <w:rFonts w:hint="default" w:ascii="宋体" w:hAnsi="宋体" w:eastAsia="宋体" w:cs="宋体"/>
          <w:sz w:val="21"/>
          <w:szCs w:val="21"/>
          <w:lang w:val="en-US"/>
        </w:rPr>
      </w:pPr>
      <w:r>
        <w:rPr>
          <w:rFonts w:hint="eastAsia" w:ascii="宋体" w:hAnsi="宋体" w:eastAsia="宋体" w:cs="宋体"/>
          <w:sz w:val="21"/>
          <w:szCs w:val="21"/>
        </w:rPr>
        <w:t>4.</w:t>
      </w:r>
      <w:r>
        <w:rPr>
          <w:rFonts w:hint="eastAsia" w:cs="宋体"/>
          <w:sz w:val="21"/>
          <w:szCs w:val="21"/>
          <w:lang w:val="en-US" w:eastAsia="zh-CN"/>
        </w:rPr>
        <w:t>交付期：</w:t>
      </w:r>
      <w:r>
        <w:rPr>
          <w:rFonts w:hint="eastAsia" w:ascii="宋体" w:hAnsi="宋体" w:eastAsia="宋体" w:cs="宋体"/>
          <w:sz w:val="21"/>
          <w:szCs w:val="21"/>
          <w:highlight w:val="none"/>
          <w:lang w:val="en-US" w:eastAsia="zh-CN"/>
        </w:rPr>
        <w:t>自合同签订之日起30个工作日内完成项目交付；免费质保期：1年</w:t>
      </w:r>
    </w:p>
    <w:p w14:paraId="1058C322">
      <w:pPr>
        <w:pStyle w:val="2"/>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z w:val="21"/>
          <w:szCs w:val="21"/>
        </w:rPr>
        <w:t>5.项目地址：上海市徐汇区百色支路 35 号</w:t>
      </w:r>
      <w:bookmarkStart w:id="0" w:name="_GoBack"/>
      <w:bookmarkEnd w:id="0"/>
    </w:p>
    <w:p w14:paraId="4AEB1F49">
      <w:pPr>
        <w:pStyle w:val="2"/>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z w:val="21"/>
          <w:szCs w:val="21"/>
        </w:rPr>
        <w:t>6.项目概况：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9"/>
        <w:gridCol w:w="800"/>
        <w:gridCol w:w="1437"/>
        <w:gridCol w:w="5416"/>
        <w:gridCol w:w="450"/>
      </w:tblGrid>
      <w:tr w14:paraId="2963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E1F302C">
            <w:pPr>
              <w:spacing w:line="360" w:lineRule="auto"/>
              <w:rPr>
                <w:rFonts w:hint="eastAsia" w:ascii="宋体" w:hAnsi="宋体" w:eastAsia="宋体" w:cs="宋体"/>
                <w:sz w:val="21"/>
                <w:szCs w:val="21"/>
              </w:rPr>
            </w:pPr>
            <w:r>
              <w:rPr>
                <w:rFonts w:hint="eastAsia" w:ascii="宋体" w:hAnsi="宋体" w:eastAsia="宋体" w:cs="宋体"/>
                <w:sz w:val="21"/>
                <w:szCs w:val="21"/>
              </w:rPr>
              <w:t>序号</w:t>
            </w:r>
          </w:p>
        </w:tc>
        <w:tc>
          <w:tcPr>
            <w:tcW w:w="0" w:type="auto"/>
          </w:tcPr>
          <w:p w14:paraId="77F78C0F">
            <w:pPr>
              <w:spacing w:line="360" w:lineRule="auto"/>
              <w:rPr>
                <w:rFonts w:hint="eastAsia" w:ascii="宋体" w:hAnsi="宋体" w:eastAsia="宋体" w:cs="宋体"/>
                <w:sz w:val="21"/>
                <w:szCs w:val="21"/>
              </w:rPr>
            </w:pPr>
            <w:r>
              <w:rPr>
                <w:rFonts w:hint="eastAsia" w:ascii="宋体" w:hAnsi="宋体" w:eastAsia="宋体" w:cs="宋体"/>
                <w:sz w:val="21"/>
                <w:szCs w:val="21"/>
              </w:rPr>
              <w:t>设备名称</w:t>
            </w:r>
          </w:p>
        </w:tc>
        <w:tc>
          <w:tcPr>
            <w:tcW w:w="0" w:type="auto"/>
            <w:gridSpan w:val="2"/>
          </w:tcPr>
          <w:p w14:paraId="386AD77E">
            <w:pPr>
              <w:spacing w:line="360" w:lineRule="auto"/>
              <w:rPr>
                <w:rFonts w:hint="eastAsia" w:ascii="宋体" w:hAnsi="宋体" w:eastAsia="宋体" w:cs="宋体"/>
                <w:sz w:val="21"/>
                <w:szCs w:val="21"/>
              </w:rPr>
            </w:pPr>
            <w:r>
              <w:rPr>
                <w:rFonts w:hint="eastAsia" w:ascii="宋体" w:hAnsi="宋体" w:eastAsia="宋体" w:cs="宋体"/>
                <w:sz w:val="21"/>
                <w:szCs w:val="21"/>
              </w:rPr>
              <w:t>技术参数要求</w:t>
            </w:r>
          </w:p>
        </w:tc>
        <w:tc>
          <w:tcPr>
            <w:tcW w:w="0" w:type="auto"/>
          </w:tcPr>
          <w:p w14:paraId="644B79BB">
            <w:pPr>
              <w:spacing w:line="360" w:lineRule="auto"/>
              <w:rPr>
                <w:rFonts w:hint="eastAsia" w:ascii="宋体" w:hAnsi="宋体" w:eastAsia="宋体" w:cs="宋体"/>
                <w:sz w:val="21"/>
                <w:szCs w:val="21"/>
              </w:rPr>
            </w:pPr>
            <w:r>
              <w:rPr>
                <w:rFonts w:hint="eastAsia" w:ascii="宋体" w:hAnsi="宋体" w:eastAsia="宋体" w:cs="宋体"/>
                <w:sz w:val="21"/>
                <w:szCs w:val="21"/>
              </w:rPr>
              <w:t>数量</w:t>
            </w:r>
          </w:p>
        </w:tc>
      </w:tr>
      <w:tr w14:paraId="1052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5F9BFAB5">
            <w:pPr>
              <w:widowControl/>
              <w:jc w:val="right"/>
              <w:textAlignment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1</w:t>
            </w:r>
          </w:p>
        </w:tc>
        <w:tc>
          <w:tcPr>
            <w:tcW w:w="0" w:type="auto"/>
            <w:vMerge w:val="restart"/>
            <w:vAlign w:val="center"/>
          </w:tcPr>
          <w:p w14:paraId="033B01BF">
            <w:pPr>
              <w:widowControl/>
              <w:jc w:val="left"/>
              <w:textAlignment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机器狗</w:t>
            </w:r>
          </w:p>
        </w:tc>
        <w:tc>
          <w:tcPr>
            <w:tcW w:w="0" w:type="auto"/>
          </w:tcPr>
          <w:p w14:paraId="50533564">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材质要求</w:t>
            </w:r>
          </w:p>
        </w:tc>
        <w:tc>
          <w:tcPr>
            <w:tcW w:w="0" w:type="auto"/>
          </w:tcPr>
          <w:p w14:paraId="4F93F093">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铝合⾦+⾼强度⼯程塑料或类似材质</w:t>
            </w:r>
          </w:p>
        </w:tc>
        <w:tc>
          <w:tcPr>
            <w:tcW w:w="0" w:type="auto"/>
            <w:vMerge w:val="restart"/>
          </w:tcPr>
          <w:p w14:paraId="2BFD9DCE">
            <w:pPr>
              <w:spacing w:line="360" w:lineRule="auto"/>
              <w:jc w:val="center"/>
              <w:rPr>
                <w:rFonts w:hint="eastAsia" w:ascii="宋体" w:hAnsi="宋体" w:eastAsia="宋体" w:cs="宋体"/>
                <w:sz w:val="21"/>
                <w:szCs w:val="21"/>
              </w:rPr>
            </w:pPr>
            <w:r>
              <w:rPr>
                <w:rFonts w:hint="eastAsia" w:ascii="宋体" w:hAnsi="宋体" w:eastAsia="宋体" w:cs="宋体"/>
                <w:sz w:val="21"/>
                <w:szCs w:val="21"/>
              </w:rPr>
              <w:t>2</w:t>
            </w:r>
          </w:p>
        </w:tc>
      </w:tr>
      <w:tr w14:paraId="51DA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0" w:type="auto"/>
            <w:vMerge w:val="continue"/>
            <w:vAlign w:val="center"/>
          </w:tcPr>
          <w:p w14:paraId="198D673C">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76D531C9">
            <w:pPr>
              <w:widowControl/>
              <w:jc w:val="left"/>
              <w:textAlignment w:val="center"/>
              <w:rPr>
                <w:rFonts w:hint="eastAsia" w:ascii="宋体" w:hAnsi="宋体" w:eastAsia="宋体" w:cs="宋体"/>
                <w:color w:val="000000"/>
                <w:kern w:val="0"/>
                <w:sz w:val="21"/>
                <w:szCs w:val="21"/>
                <w:lang w:bidi="ar"/>
              </w:rPr>
            </w:pPr>
          </w:p>
        </w:tc>
        <w:tc>
          <w:tcPr>
            <w:tcW w:w="0" w:type="auto"/>
          </w:tcPr>
          <w:p w14:paraId="66DDA0B1">
            <w:pPr>
              <w:pStyle w:val="9"/>
              <w:spacing w:before="167" w:line="213" w:lineRule="auto"/>
              <w:ind w:left="126" w:right="439" w:hanging="2"/>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站⽴尺⼨（⻓×宽×⾼）</w:t>
            </w:r>
          </w:p>
        </w:tc>
        <w:tc>
          <w:tcPr>
            <w:tcW w:w="0" w:type="auto"/>
          </w:tcPr>
          <w:p w14:paraId="79AE4358">
            <w:pPr>
              <w:pStyle w:val="9"/>
              <w:spacing w:line="251" w:lineRule="auto"/>
              <w:rPr>
                <w:rFonts w:hint="eastAsia" w:ascii="宋体" w:hAnsi="宋体" w:eastAsia="宋体" w:cs="宋体"/>
                <w:color w:val="000000"/>
                <w:kern w:val="0"/>
                <w:sz w:val="21"/>
                <w:szCs w:val="21"/>
                <w:lang w:eastAsia="zh-CN" w:bidi="ar"/>
              </w:rPr>
            </w:pPr>
          </w:p>
          <w:p w14:paraId="63A9CE37">
            <w:pPr>
              <w:pStyle w:val="9"/>
              <w:spacing w:before="96" w:line="200" w:lineRule="auto"/>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≤635mm×360mm×420mm ，点⾜式</w:t>
            </w:r>
          </w:p>
        </w:tc>
        <w:tc>
          <w:tcPr>
            <w:tcW w:w="0" w:type="auto"/>
            <w:vMerge w:val="continue"/>
          </w:tcPr>
          <w:p w14:paraId="3031D676">
            <w:pPr>
              <w:spacing w:line="360" w:lineRule="auto"/>
              <w:rPr>
                <w:rFonts w:hint="eastAsia" w:ascii="宋体" w:hAnsi="宋体" w:eastAsia="宋体" w:cs="宋体"/>
                <w:sz w:val="21"/>
                <w:szCs w:val="21"/>
              </w:rPr>
            </w:pPr>
          </w:p>
        </w:tc>
      </w:tr>
      <w:tr w14:paraId="72E9B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907D9EB">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38FD4362">
            <w:pPr>
              <w:widowControl/>
              <w:jc w:val="left"/>
              <w:textAlignment w:val="center"/>
              <w:rPr>
                <w:rFonts w:hint="eastAsia" w:ascii="宋体" w:hAnsi="宋体" w:eastAsia="宋体" w:cs="宋体"/>
                <w:color w:val="000000"/>
                <w:kern w:val="0"/>
                <w:sz w:val="21"/>
                <w:szCs w:val="21"/>
                <w:lang w:bidi="ar"/>
              </w:rPr>
            </w:pPr>
          </w:p>
        </w:tc>
        <w:tc>
          <w:tcPr>
            <w:tcW w:w="0" w:type="auto"/>
          </w:tcPr>
          <w:p w14:paraId="538721F3">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整机重量（含电池）</w:t>
            </w:r>
          </w:p>
        </w:tc>
        <w:tc>
          <w:tcPr>
            <w:tcW w:w="0" w:type="auto"/>
          </w:tcPr>
          <w:p w14:paraId="3267619D">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≤16kg</w:t>
            </w:r>
          </w:p>
        </w:tc>
        <w:tc>
          <w:tcPr>
            <w:tcW w:w="0" w:type="auto"/>
            <w:vMerge w:val="continue"/>
          </w:tcPr>
          <w:p w14:paraId="4F37EAA4">
            <w:pPr>
              <w:spacing w:line="360" w:lineRule="auto"/>
              <w:rPr>
                <w:rFonts w:hint="eastAsia" w:ascii="宋体" w:hAnsi="宋体" w:eastAsia="宋体" w:cs="宋体"/>
                <w:sz w:val="21"/>
                <w:szCs w:val="21"/>
              </w:rPr>
            </w:pPr>
          </w:p>
        </w:tc>
      </w:tr>
      <w:tr w14:paraId="2C915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4C1F8F5">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7B4B7E71">
            <w:pPr>
              <w:widowControl/>
              <w:jc w:val="left"/>
              <w:textAlignment w:val="center"/>
              <w:rPr>
                <w:rFonts w:hint="eastAsia" w:ascii="宋体" w:hAnsi="宋体" w:eastAsia="宋体" w:cs="宋体"/>
                <w:color w:val="000000"/>
                <w:kern w:val="0"/>
                <w:sz w:val="21"/>
                <w:szCs w:val="21"/>
                <w:lang w:bidi="ar"/>
              </w:rPr>
            </w:pPr>
          </w:p>
        </w:tc>
        <w:tc>
          <w:tcPr>
            <w:tcW w:w="0" w:type="auto"/>
          </w:tcPr>
          <w:p w14:paraId="39BC61EC">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续航时间</w:t>
            </w:r>
          </w:p>
        </w:tc>
        <w:tc>
          <w:tcPr>
            <w:tcW w:w="0" w:type="auto"/>
          </w:tcPr>
          <w:p w14:paraId="114D97A5">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≥1h-2h</w:t>
            </w:r>
          </w:p>
        </w:tc>
        <w:tc>
          <w:tcPr>
            <w:tcW w:w="0" w:type="auto"/>
            <w:vMerge w:val="continue"/>
          </w:tcPr>
          <w:p w14:paraId="526A7BD5">
            <w:pPr>
              <w:spacing w:line="360" w:lineRule="auto"/>
              <w:rPr>
                <w:rFonts w:hint="eastAsia" w:ascii="宋体" w:hAnsi="宋体" w:eastAsia="宋体" w:cs="宋体"/>
                <w:sz w:val="21"/>
                <w:szCs w:val="21"/>
              </w:rPr>
            </w:pPr>
          </w:p>
        </w:tc>
      </w:tr>
      <w:tr w14:paraId="4052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A2EDB5A">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1245379D">
            <w:pPr>
              <w:widowControl/>
              <w:jc w:val="left"/>
              <w:textAlignment w:val="center"/>
              <w:rPr>
                <w:rFonts w:hint="eastAsia" w:ascii="宋体" w:hAnsi="宋体" w:eastAsia="宋体" w:cs="宋体"/>
                <w:color w:val="000000"/>
                <w:kern w:val="0"/>
                <w:sz w:val="21"/>
                <w:szCs w:val="21"/>
                <w:lang w:bidi="ar"/>
              </w:rPr>
            </w:pPr>
          </w:p>
        </w:tc>
        <w:tc>
          <w:tcPr>
            <w:tcW w:w="0" w:type="auto"/>
          </w:tcPr>
          <w:p w14:paraId="0C4E97BC">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续航⾥程</w:t>
            </w:r>
          </w:p>
        </w:tc>
        <w:tc>
          <w:tcPr>
            <w:tcW w:w="0" w:type="auto"/>
          </w:tcPr>
          <w:p w14:paraId="0E555C2E">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≥6km</w:t>
            </w:r>
          </w:p>
        </w:tc>
        <w:tc>
          <w:tcPr>
            <w:tcW w:w="0" w:type="auto"/>
            <w:vMerge w:val="continue"/>
          </w:tcPr>
          <w:p w14:paraId="73A4528C">
            <w:pPr>
              <w:spacing w:line="360" w:lineRule="auto"/>
              <w:rPr>
                <w:rFonts w:hint="eastAsia" w:ascii="宋体" w:hAnsi="宋体" w:eastAsia="宋体" w:cs="宋体"/>
                <w:sz w:val="21"/>
                <w:szCs w:val="21"/>
              </w:rPr>
            </w:pPr>
          </w:p>
        </w:tc>
      </w:tr>
      <w:tr w14:paraId="7C15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7BC9B8E">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208E661B">
            <w:pPr>
              <w:widowControl/>
              <w:jc w:val="left"/>
              <w:textAlignment w:val="center"/>
              <w:rPr>
                <w:rFonts w:hint="eastAsia" w:ascii="宋体" w:hAnsi="宋体" w:eastAsia="宋体" w:cs="宋体"/>
                <w:color w:val="000000"/>
                <w:kern w:val="0"/>
                <w:sz w:val="21"/>
                <w:szCs w:val="21"/>
                <w:lang w:bidi="ar"/>
              </w:rPr>
            </w:pPr>
          </w:p>
        </w:tc>
        <w:tc>
          <w:tcPr>
            <w:tcW w:w="0" w:type="auto"/>
          </w:tcPr>
          <w:p w14:paraId="43AFF01B">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⼯作最⼤功率</w:t>
            </w:r>
          </w:p>
        </w:tc>
        <w:tc>
          <w:tcPr>
            <w:tcW w:w="0" w:type="auto"/>
          </w:tcPr>
          <w:p w14:paraId="4A267B5D">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≥3500W</w:t>
            </w:r>
          </w:p>
        </w:tc>
        <w:tc>
          <w:tcPr>
            <w:tcW w:w="0" w:type="auto"/>
            <w:vMerge w:val="continue"/>
          </w:tcPr>
          <w:p w14:paraId="78AD5AAF">
            <w:pPr>
              <w:spacing w:line="360" w:lineRule="auto"/>
              <w:rPr>
                <w:rFonts w:hint="eastAsia" w:ascii="宋体" w:hAnsi="宋体" w:eastAsia="宋体" w:cs="宋体"/>
                <w:sz w:val="21"/>
                <w:szCs w:val="21"/>
              </w:rPr>
            </w:pPr>
          </w:p>
        </w:tc>
      </w:tr>
      <w:tr w14:paraId="57B89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1D270EF">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708E37E9">
            <w:pPr>
              <w:widowControl/>
              <w:jc w:val="left"/>
              <w:textAlignment w:val="center"/>
              <w:rPr>
                <w:rFonts w:hint="eastAsia" w:ascii="宋体" w:hAnsi="宋体" w:eastAsia="宋体" w:cs="宋体"/>
                <w:color w:val="000000"/>
                <w:kern w:val="0"/>
                <w:sz w:val="21"/>
                <w:szCs w:val="21"/>
                <w:lang w:bidi="ar"/>
              </w:rPr>
            </w:pPr>
          </w:p>
        </w:tc>
        <w:tc>
          <w:tcPr>
            <w:tcW w:w="0" w:type="auto"/>
          </w:tcPr>
          <w:p w14:paraId="65934800">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最⼤速度</w:t>
            </w:r>
          </w:p>
        </w:tc>
        <w:tc>
          <w:tcPr>
            <w:tcW w:w="0" w:type="auto"/>
          </w:tcPr>
          <w:p w14:paraId="59C5D1C3">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≥3.5m/s</w:t>
            </w:r>
          </w:p>
        </w:tc>
        <w:tc>
          <w:tcPr>
            <w:tcW w:w="0" w:type="auto"/>
            <w:vMerge w:val="continue"/>
          </w:tcPr>
          <w:p w14:paraId="0341B996">
            <w:pPr>
              <w:spacing w:line="360" w:lineRule="auto"/>
              <w:rPr>
                <w:rFonts w:hint="eastAsia" w:ascii="宋体" w:hAnsi="宋体" w:eastAsia="宋体" w:cs="宋体"/>
                <w:sz w:val="21"/>
                <w:szCs w:val="21"/>
              </w:rPr>
            </w:pPr>
          </w:p>
        </w:tc>
      </w:tr>
      <w:tr w14:paraId="67C5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BBA2B7E">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476F603D">
            <w:pPr>
              <w:widowControl/>
              <w:jc w:val="left"/>
              <w:textAlignment w:val="center"/>
              <w:rPr>
                <w:rFonts w:hint="eastAsia" w:ascii="宋体" w:hAnsi="宋体" w:eastAsia="宋体" w:cs="宋体"/>
                <w:color w:val="000000"/>
                <w:kern w:val="0"/>
                <w:sz w:val="21"/>
                <w:szCs w:val="21"/>
                <w:lang w:bidi="ar"/>
              </w:rPr>
            </w:pPr>
          </w:p>
        </w:tc>
        <w:tc>
          <w:tcPr>
            <w:tcW w:w="0" w:type="auto"/>
          </w:tcPr>
          <w:p w14:paraId="1460AFFC">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最⼤攀爬楼梯⾼度</w:t>
            </w:r>
          </w:p>
        </w:tc>
        <w:tc>
          <w:tcPr>
            <w:tcW w:w="0" w:type="auto"/>
          </w:tcPr>
          <w:p w14:paraId="26F1B7A9">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≥16cm</w:t>
            </w:r>
          </w:p>
        </w:tc>
        <w:tc>
          <w:tcPr>
            <w:tcW w:w="0" w:type="auto"/>
            <w:vMerge w:val="continue"/>
          </w:tcPr>
          <w:p w14:paraId="10892329">
            <w:pPr>
              <w:spacing w:line="360" w:lineRule="auto"/>
              <w:rPr>
                <w:rFonts w:hint="eastAsia" w:ascii="宋体" w:hAnsi="宋体" w:eastAsia="宋体" w:cs="宋体"/>
                <w:sz w:val="21"/>
                <w:szCs w:val="21"/>
              </w:rPr>
            </w:pPr>
          </w:p>
        </w:tc>
      </w:tr>
      <w:tr w14:paraId="30BD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17914A9">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61ADAFBA">
            <w:pPr>
              <w:widowControl/>
              <w:jc w:val="left"/>
              <w:textAlignment w:val="center"/>
              <w:rPr>
                <w:rFonts w:hint="eastAsia" w:ascii="宋体" w:hAnsi="宋体" w:eastAsia="宋体" w:cs="宋体"/>
                <w:color w:val="000000"/>
                <w:kern w:val="0"/>
                <w:sz w:val="21"/>
                <w:szCs w:val="21"/>
                <w:lang w:bidi="ar"/>
              </w:rPr>
            </w:pPr>
          </w:p>
        </w:tc>
        <w:tc>
          <w:tcPr>
            <w:tcW w:w="0" w:type="auto"/>
          </w:tcPr>
          <w:p w14:paraId="04041C7A">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最⼤爬坡角度</w:t>
            </w:r>
          </w:p>
        </w:tc>
        <w:tc>
          <w:tcPr>
            <w:tcW w:w="0" w:type="auto"/>
          </w:tcPr>
          <w:p w14:paraId="5B4A1DC9">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≥40°</w:t>
            </w:r>
          </w:p>
        </w:tc>
        <w:tc>
          <w:tcPr>
            <w:tcW w:w="0" w:type="auto"/>
            <w:vMerge w:val="continue"/>
          </w:tcPr>
          <w:p w14:paraId="3B82CD5B">
            <w:pPr>
              <w:spacing w:line="360" w:lineRule="auto"/>
              <w:rPr>
                <w:rFonts w:hint="eastAsia" w:ascii="宋体" w:hAnsi="宋体" w:eastAsia="宋体" w:cs="宋体"/>
                <w:sz w:val="21"/>
                <w:szCs w:val="21"/>
              </w:rPr>
            </w:pPr>
          </w:p>
        </w:tc>
      </w:tr>
      <w:tr w14:paraId="5BB69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2B9B221">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6DB48DCD">
            <w:pPr>
              <w:widowControl/>
              <w:jc w:val="left"/>
              <w:textAlignment w:val="center"/>
              <w:rPr>
                <w:rFonts w:hint="eastAsia" w:ascii="宋体" w:hAnsi="宋体" w:eastAsia="宋体" w:cs="宋体"/>
                <w:color w:val="000000"/>
                <w:kern w:val="0"/>
                <w:sz w:val="21"/>
                <w:szCs w:val="21"/>
                <w:lang w:bidi="ar"/>
              </w:rPr>
            </w:pPr>
          </w:p>
        </w:tc>
        <w:tc>
          <w:tcPr>
            <w:tcW w:w="0" w:type="auto"/>
          </w:tcPr>
          <w:p w14:paraId="62433480">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跳跃起来离地⾼度</w:t>
            </w:r>
          </w:p>
        </w:tc>
        <w:tc>
          <w:tcPr>
            <w:tcW w:w="0" w:type="auto"/>
          </w:tcPr>
          <w:p w14:paraId="6EF8493B">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≥35cm</w:t>
            </w:r>
          </w:p>
        </w:tc>
        <w:tc>
          <w:tcPr>
            <w:tcW w:w="0" w:type="auto"/>
            <w:vMerge w:val="continue"/>
          </w:tcPr>
          <w:p w14:paraId="42B14FE3">
            <w:pPr>
              <w:spacing w:line="360" w:lineRule="auto"/>
              <w:rPr>
                <w:rFonts w:hint="eastAsia" w:ascii="宋体" w:hAnsi="宋体" w:eastAsia="宋体" w:cs="宋体"/>
                <w:sz w:val="21"/>
                <w:szCs w:val="21"/>
              </w:rPr>
            </w:pPr>
          </w:p>
        </w:tc>
      </w:tr>
      <w:tr w14:paraId="23C6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D800800">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5FF14BF0">
            <w:pPr>
              <w:widowControl/>
              <w:jc w:val="left"/>
              <w:textAlignment w:val="center"/>
              <w:rPr>
                <w:rFonts w:hint="eastAsia" w:ascii="宋体" w:hAnsi="宋体" w:eastAsia="宋体" w:cs="宋体"/>
                <w:color w:val="000000"/>
                <w:kern w:val="0"/>
                <w:sz w:val="21"/>
                <w:szCs w:val="21"/>
                <w:lang w:bidi="ar"/>
              </w:rPr>
            </w:pPr>
          </w:p>
        </w:tc>
        <w:tc>
          <w:tcPr>
            <w:tcW w:w="0" w:type="auto"/>
          </w:tcPr>
          <w:p w14:paraId="70543FBA">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最⼤关节扭矩</w:t>
            </w:r>
          </w:p>
        </w:tc>
        <w:tc>
          <w:tcPr>
            <w:tcW w:w="0" w:type="auto"/>
          </w:tcPr>
          <w:p w14:paraId="13DCB695">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≥48N·m</w:t>
            </w:r>
          </w:p>
        </w:tc>
        <w:tc>
          <w:tcPr>
            <w:tcW w:w="0" w:type="auto"/>
            <w:vMerge w:val="continue"/>
          </w:tcPr>
          <w:p w14:paraId="05450846">
            <w:pPr>
              <w:spacing w:line="360" w:lineRule="auto"/>
              <w:rPr>
                <w:rFonts w:hint="eastAsia" w:ascii="宋体" w:hAnsi="宋体" w:eastAsia="宋体" w:cs="宋体"/>
                <w:sz w:val="21"/>
                <w:szCs w:val="21"/>
              </w:rPr>
            </w:pPr>
          </w:p>
        </w:tc>
      </w:tr>
      <w:tr w14:paraId="34829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4591C72">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5A792225">
            <w:pPr>
              <w:widowControl/>
              <w:jc w:val="left"/>
              <w:textAlignment w:val="center"/>
              <w:rPr>
                <w:rFonts w:hint="eastAsia" w:ascii="宋体" w:hAnsi="宋体" w:eastAsia="宋体" w:cs="宋体"/>
                <w:color w:val="000000"/>
                <w:kern w:val="0"/>
                <w:sz w:val="21"/>
                <w:szCs w:val="21"/>
                <w:lang w:bidi="ar"/>
              </w:rPr>
            </w:pPr>
          </w:p>
        </w:tc>
        <w:tc>
          <w:tcPr>
            <w:tcW w:w="0" w:type="auto"/>
          </w:tcPr>
          <w:p w14:paraId="572DF29E">
            <w:pPr>
              <w:pStyle w:val="9"/>
              <w:spacing w:before="96" w:line="191" w:lineRule="auto"/>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相机FOV</w:t>
            </w:r>
          </w:p>
        </w:tc>
        <w:tc>
          <w:tcPr>
            <w:tcW w:w="0" w:type="auto"/>
          </w:tcPr>
          <w:p w14:paraId="3B734B64">
            <w:pPr>
              <w:pStyle w:val="9"/>
              <w:spacing w:before="169" w:line="223" w:lineRule="auto"/>
              <w:ind w:right="1259"/>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标配1920x1080像素或优于此指标相机1个， DFOV≥122° ,  HFOV≥111° ,  VFOV≥70°</w:t>
            </w:r>
          </w:p>
        </w:tc>
        <w:tc>
          <w:tcPr>
            <w:tcW w:w="0" w:type="auto"/>
            <w:vMerge w:val="continue"/>
          </w:tcPr>
          <w:p w14:paraId="3E5C59EB">
            <w:pPr>
              <w:spacing w:line="360" w:lineRule="auto"/>
              <w:rPr>
                <w:rFonts w:hint="eastAsia" w:ascii="宋体" w:hAnsi="宋体" w:eastAsia="宋体" w:cs="宋体"/>
                <w:sz w:val="21"/>
                <w:szCs w:val="21"/>
              </w:rPr>
            </w:pPr>
          </w:p>
        </w:tc>
      </w:tr>
      <w:tr w14:paraId="7682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2AF63AE">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197D0802">
            <w:pPr>
              <w:widowControl/>
              <w:jc w:val="left"/>
              <w:textAlignment w:val="center"/>
              <w:rPr>
                <w:rFonts w:hint="eastAsia" w:ascii="宋体" w:hAnsi="宋体" w:eastAsia="宋体" w:cs="宋体"/>
                <w:color w:val="000000"/>
                <w:kern w:val="0"/>
                <w:sz w:val="21"/>
                <w:szCs w:val="21"/>
                <w:lang w:bidi="ar"/>
              </w:rPr>
            </w:pPr>
          </w:p>
        </w:tc>
        <w:tc>
          <w:tcPr>
            <w:tcW w:w="0" w:type="auto"/>
          </w:tcPr>
          <w:p w14:paraId="543D9473">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标准动作</w:t>
            </w:r>
          </w:p>
        </w:tc>
        <w:tc>
          <w:tcPr>
            <w:tcW w:w="0" w:type="auto"/>
          </w:tcPr>
          <w:p w14:paraId="2911E341">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站⽴ 、 卧倒、 阻尼、俯仰⾝形、⽔平转⾝</w:t>
            </w:r>
          </w:p>
        </w:tc>
        <w:tc>
          <w:tcPr>
            <w:tcW w:w="0" w:type="auto"/>
            <w:vMerge w:val="continue"/>
          </w:tcPr>
          <w:p w14:paraId="29E3E272">
            <w:pPr>
              <w:spacing w:line="360" w:lineRule="auto"/>
              <w:rPr>
                <w:rFonts w:hint="eastAsia" w:ascii="宋体" w:hAnsi="宋体" w:eastAsia="宋体" w:cs="宋体"/>
                <w:sz w:val="21"/>
                <w:szCs w:val="21"/>
              </w:rPr>
            </w:pPr>
          </w:p>
        </w:tc>
      </w:tr>
      <w:tr w14:paraId="0217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08105BE">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63029451">
            <w:pPr>
              <w:widowControl/>
              <w:jc w:val="left"/>
              <w:textAlignment w:val="center"/>
              <w:rPr>
                <w:rFonts w:hint="eastAsia" w:ascii="宋体" w:hAnsi="宋体" w:eastAsia="宋体" w:cs="宋体"/>
                <w:color w:val="000000"/>
                <w:kern w:val="0"/>
                <w:sz w:val="21"/>
                <w:szCs w:val="21"/>
                <w:lang w:bidi="ar"/>
              </w:rPr>
            </w:pPr>
          </w:p>
        </w:tc>
        <w:tc>
          <w:tcPr>
            <w:tcW w:w="0" w:type="auto"/>
          </w:tcPr>
          <w:p w14:paraId="1721AEB2">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特技动作</w:t>
            </w:r>
          </w:p>
        </w:tc>
        <w:tc>
          <w:tcPr>
            <w:tcW w:w="0" w:type="auto"/>
          </w:tcPr>
          <w:p w14:paraId="5DC89B8B">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向前跳、 向上跳、后空翻、双腿站⽴ 、打招呼</w:t>
            </w:r>
          </w:p>
        </w:tc>
        <w:tc>
          <w:tcPr>
            <w:tcW w:w="0" w:type="auto"/>
            <w:vMerge w:val="continue"/>
          </w:tcPr>
          <w:p w14:paraId="4B7C8A1E">
            <w:pPr>
              <w:spacing w:line="360" w:lineRule="auto"/>
              <w:rPr>
                <w:rFonts w:hint="eastAsia" w:ascii="宋体" w:hAnsi="宋体" w:eastAsia="宋体" w:cs="宋体"/>
                <w:sz w:val="21"/>
                <w:szCs w:val="21"/>
              </w:rPr>
            </w:pPr>
          </w:p>
        </w:tc>
      </w:tr>
      <w:tr w14:paraId="5CAD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7636648">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2B2CF3BC">
            <w:pPr>
              <w:widowControl/>
              <w:jc w:val="left"/>
              <w:textAlignment w:val="center"/>
              <w:rPr>
                <w:rFonts w:hint="eastAsia" w:ascii="宋体" w:hAnsi="宋体" w:eastAsia="宋体" w:cs="宋体"/>
                <w:color w:val="000000"/>
                <w:kern w:val="0"/>
                <w:sz w:val="21"/>
                <w:szCs w:val="21"/>
                <w:lang w:bidi="ar"/>
              </w:rPr>
            </w:pPr>
          </w:p>
        </w:tc>
        <w:tc>
          <w:tcPr>
            <w:tcW w:w="0" w:type="auto"/>
          </w:tcPr>
          <w:p w14:paraId="2C78FCF6">
            <w:pPr>
              <w:pStyle w:val="9"/>
              <w:spacing w:before="61" w:line="197" w:lineRule="auto"/>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APP</w:t>
            </w:r>
          </w:p>
        </w:tc>
        <w:tc>
          <w:tcPr>
            <w:tcW w:w="0" w:type="auto"/>
          </w:tcPr>
          <w:p w14:paraId="3FD5C436">
            <w:pPr>
              <w:pStyle w:val="9"/>
              <w:spacing w:before="170" w:line="216" w:lineRule="auto"/>
              <w:ind w:right="304"/>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官⽹提供APP下载链接 ，可提供安卓版本和苹果ios版本；APP具备⼈形机器⼈和四⾜机器⼈管理功能；提供 官⽹链接证明</w:t>
            </w:r>
          </w:p>
        </w:tc>
        <w:tc>
          <w:tcPr>
            <w:tcW w:w="0" w:type="auto"/>
            <w:vMerge w:val="continue"/>
          </w:tcPr>
          <w:p w14:paraId="30CD38CA">
            <w:pPr>
              <w:spacing w:line="360" w:lineRule="auto"/>
              <w:rPr>
                <w:rFonts w:hint="eastAsia" w:ascii="宋体" w:hAnsi="宋体" w:eastAsia="宋体" w:cs="宋体"/>
                <w:sz w:val="21"/>
                <w:szCs w:val="21"/>
              </w:rPr>
            </w:pPr>
          </w:p>
        </w:tc>
      </w:tr>
      <w:tr w14:paraId="393B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39CB353">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617809F2">
            <w:pPr>
              <w:widowControl/>
              <w:jc w:val="left"/>
              <w:textAlignment w:val="center"/>
              <w:rPr>
                <w:rFonts w:hint="eastAsia" w:ascii="宋体" w:hAnsi="宋体" w:eastAsia="宋体" w:cs="宋体"/>
                <w:color w:val="000000"/>
                <w:kern w:val="0"/>
                <w:sz w:val="21"/>
                <w:szCs w:val="21"/>
                <w:lang w:bidi="ar"/>
              </w:rPr>
            </w:pPr>
          </w:p>
        </w:tc>
        <w:tc>
          <w:tcPr>
            <w:tcW w:w="0" w:type="auto"/>
          </w:tcPr>
          <w:p w14:paraId="2CF265C5">
            <w:pPr>
              <w:spacing w:before="95" w:line="191" w:lineRule="auto"/>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功能拓展接⼝</w:t>
            </w:r>
          </w:p>
        </w:tc>
        <w:tc>
          <w:tcPr>
            <w:tcW w:w="0" w:type="auto"/>
          </w:tcPr>
          <w:p w14:paraId="7F42420C">
            <w:pPr>
              <w:pStyle w:val="9"/>
              <w:spacing w:before="168" w:line="220" w:lineRule="auto"/>
              <w:ind w:right="512"/>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提供拓展接⼝≥以太⽹⼝ *1、 USB接⼝ *2、 电源接⼝ *2、SBUS接⼝ *1、 UART接⼝ *1</w:t>
            </w:r>
          </w:p>
        </w:tc>
        <w:tc>
          <w:tcPr>
            <w:tcW w:w="0" w:type="auto"/>
            <w:vMerge w:val="continue"/>
          </w:tcPr>
          <w:p w14:paraId="4A15D85F">
            <w:pPr>
              <w:spacing w:line="360" w:lineRule="auto"/>
              <w:rPr>
                <w:rFonts w:hint="eastAsia" w:ascii="宋体" w:hAnsi="宋体" w:eastAsia="宋体" w:cs="宋体"/>
                <w:sz w:val="21"/>
                <w:szCs w:val="21"/>
              </w:rPr>
            </w:pPr>
          </w:p>
        </w:tc>
      </w:tr>
      <w:tr w14:paraId="20832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4AB582D">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53EFA8B3">
            <w:pPr>
              <w:widowControl/>
              <w:jc w:val="left"/>
              <w:textAlignment w:val="center"/>
              <w:rPr>
                <w:rFonts w:hint="eastAsia" w:ascii="宋体" w:hAnsi="宋体" w:eastAsia="宋体" w:cs="宋体"/>
                <w:color w:val="000000"/>
                <w:kern w:val="0"/>
                <w:sz w:val="21"/>
                <w:szCs w:val="21"/>
                <w:lang w:bidi="ar"/>
              </w:rPr>
            </w:pPr>
          </w:p>
        </w:tc>
        <w:tc>
          <w:tcPr>
            <w:tcW w:w="0" w:type="auto"/>
          </w:tcPr>
          <w:p w14:paraId="3CBCB008">
            <w:pPr>
              <w:spacing w:before="96" w:line="191" w:lineRule="auto"/>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⼆次开发</w:t>
            </w:r>
          </w:p>
        </w:tc>
        <w:tc>
          <w:tcPr>
            <w:tcW w:w="0" w:type="auto"/>
          </w:tcPr>
          <w:p w14:paraId="1C45FAF5">
            <w:pPr>
              <w:pStyle w:val="9"/>
              <w:spacing w:before="168" w:line="213" w:lineRule="auto"/>
              <w:ind w:right="250"/>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提供SDK开发包 ，标准化接⼝ ，⽀持Issac sim等仿真环境</w:t>
            </w:r>
          </w:p>
        </w:tc>
        <w:tc>
          <w:tcPr>
            <w:tcW w:w="0" w:type="auto"/>
            <w:vMerge w:val="continue"/>
          </w:tcPr>
          <w:p w14:paraId="7885A3FC">
            <w:pPr>
              <w:spacing w:line="360" w:lineRule="auto"/>
              <w:rPr>
                <w:rFonts w:hint="eastAsia" w:ascii="宋体" w:hAnsi="宋体" w:eastAsia="宋体" w:cs="宋体"/>
                <w:sz w:val="21"/>
                <w:szCs w:val="21"/>
              </w:rPr>
            </w:pPr>
          </w:p>
        </w:tc>
      </w:tr>
      <w:tr w14:paraId="27BB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B2E07E9">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5C767DA5">
            <w:pPr>
              <w:widowControl/>
              <w:jc w:val="left"/>
              <w:textAlignment w:val="center"/>
              <w:rPr>
                <w:rFonts w:hint="eastAsia" w:ascii="宋体" w:hAnsi="宋体" w:eastAsia="宋体" w:cs="宋体"/>
                <w:color w:val="000000"/>
                <w:kern w:val="0"/>
                <w:sz w:val="21"/>
                <w:szCs w:val="21"/>
                <w:lang w:bidi="ar"/>
              </w:rPr>
            </w:pPr>
          </w:p>
        </w:tc>
        <w:tc>
          <w:tcPr>
            <w:tcW w:w="0" w:type="auto"/>
          </w:tcPr>
          <w:p w14:paraId="635746BE">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配套课程⽀持</w:t>
            </w:r>
          </w:p>
        </w:tc>
        <w:tc>
          <w:tcPr>
            <w:tcW w:w="0" w:type="auto"/>
          </w:tcPr>
          <w:p w14:paraId="09F70CC8">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可以⽀持提供课程：理论+实践不少于48课时，配有详细的⽤户使⽤⼿册和软件开发⼿册：含教材、课程⼤纲、</w:t>
            </w:r>
          </w:p>
          <w:p w14:paraId="2A33FD90">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讲义、源代码、PPT、实验指导书、习题库、考核资料、项⽬资料库以及微课等；</w:t>
            </w:r>
          </w:p>
          <w:p w14:paraId="5C344AE6">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 理论内容不少于6章 ，实践内容不少于6章 ，应包含四⾜机器⼈开发环境搭建、机器⼈通信机制、机器⼈调试⼯具应⽤、可视化⼯具、传感器应⽤ 、SLAM与导航等。</w:t>
            </w:r>
          </w:p>
          <w:p w14:paraId="53CE5B24">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 实训内容不少于20个，与课程内容相对应。</w:t>
            </w:r>
          </w:p>
          <w:p w14:paraId="50C8FDAD">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 习题库≥300道 ，包含选择、判断、填空等题型。</w:t>
            </w:r>
          </w:p>
          <w:p w14:paraId="6DAECE6E">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4）综合项⽬案例≥ 3个；</w:t>
            </w:r>
          </w:p>
          <w:p w14:paraId="496BC881">
            <w:pPr>
              <w:widowControl/>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5） PPT≥48课时，每课时不少于20页。</w:t>
            </w:r>
          </w:p>
        </w:tc>
        <w:tc>
          <w:tcPr>
            <w:tcW w:w="0" w:type="auto"/>
            <w:vMerge w:val="continue"/>
          </w:tcPr>
          <w:p w14:paraId="54A17313">
            <w:pPr>
              <w:spacing w:line="360" w:lineRule="auto"/>
              <w:rPr>
                <w:rFonts w:hint="eastAsia" w:ascii="宋体" w:hAnsi="宋体" w:eastAsia="宋体" w:cs="宋体"/>
                <w:sz w:val="21"/>
                <w:szCs w:val="21"/>
              </w:rPr>
            </w:pPr>
          </w:p>
        </w:tc>
      </w:tr>
      <w:tr w14:paraId="1F4D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414F69B">
            <w:pPr>
              <w:widowControl/>
              <w:jc w:val="right"/>
              <w:textAlignment w:val="center"/>
              <w:rPr>
                <w:rFonts w:hint="eastAsia" w:ascii="宋体" w:hAnsi="宋体" w:eastAsia="宋体" w:cs="宋体"/>
                <w:color w:val="000000"/>
                <w:kern w:val="0"/>
                <w:sz w:val="21"/>
                <w:szCs w:val="21"/>
                <w:lang w:bidi="ar"/>
              </w:rPr>
            </w:pPr>
          </w:p>
        </w:tc>
        <w:tc>
          <w:tcPr>
            <w:tcW w:w="0" w:type="auto"/>
            <w:vMerge w:val="continue"/>
            <w:vAlign w:val="center"/>
          </w:tcPr>
          <w:p w14:paraId="5CA7A18B">
            <w:pPr>
              <w:widowControl/>
              <w:jc w:val="left"/>
              <w:textAlignment w:val="center"/>
              <w:rPr>
                <w:rFonts w:hint="eastAsia" w:ascii="宋体" w:hAnsi="宋体" w:eastAsia="宋体" w:cs="宋体"/>
                <w:color w:val="000000"/>
                <w:kern w:val="0"/>
                <w:sz w:val="21"/>
                <w:szCs w:val="21"/>
                <w:lang w:bidi="ar"/>
              </w:rPr>
            </w:pPr>
          </w:p>
        </w:tc>
        <w:tc>
          <w:tcPr>
            <w:tcW w:w="0" w:type="auto"/>
            <w:vAlign w:val="center"/>
          </w:tcPr>
          <w:p w14:paraId="300A2D81">
            <w:pPr>
              <w:widowControl/>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en-US" w:bidi="ar"/>
              </w:rPr>
              <w:t>质保期</w:t>
            </w:r>
          </w:p>
        </w:tc>
        <w:tc>
          <w:tcPr>
            <w:tcW w:w="0" w:type="auto"/>
            <w:vAlign w:val="center"/>
          </w:tcPr>
          <w:p w14:paraId="26D098A5">
            <w:pPr>
              <w:widowControl/>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1年</w:t>
            </w:r>
          </w:p>
        </w:tc>
        <w:tc>
          <w:tcPr>
            <w:tcW w:w="0" w:type="auto"/>
            <w:vMerge w:val="continue"/>
          </w:tcPr>
          <w:p w14:paraId="54CC8F3F">
            <w:pPr>
              <w:spacing w:line="360" w:lineRule="auto"/>
              <w:rPr>
                <w:rFonts w:hint="eastAsia" w:ascii="宋体" w:hAnsi="宋体" w:eastAsia="宋体" w:cs="宋体"/>
                <w:sz w:val="21"/>
                <w:szCs w:val="21"/>
              </w:rPr>
            </w:pPr>
          </w:p>
        </w:tc>
      </w:tr>
      <w:tr w14:paraId="50B1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5C529A1">
            <w:pPr>
              <w:widowControl/>
              <w:jc w:val="right"/>
              <w:textAlignment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2</w:t>
            </w:r>
          </w:p>
        </w:tc>
        <w:tc>
          <w:tcPr>
            <w:tcW w:w="0" w:type="auto"/>
            <w:vMerge w:val="restart"/>
            <w:vAlign w:val="center"/>
          </w:tcPr>
          <w:p w14:paraId="10A50395">
            <w:pPr>
              <w:widowControl/>
              <w:jc w:val="left"/>
              <w:textAlignment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具身机器人（人形）</w:t>
            </w:r>
          </w:p>
        </w:tc>
        <w:tc>
          <w:tcPr>
            <w:tcW w:w="0" w:type="auto"/>
            <w:vAlign w:val="center"/>
          </w:tcPr>
          <w:p w14:paraId="5BB2C815">
            <w:pPr>
              <w:widowControl/>
              <w:jc w:val="center"/>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color w:val="000000"/>
                <w:kern w:val="0"/>
                <w:sz w:val="21"/>
                <w:szCs w:val="21"/>
                <w:lang w:bidi="ar"/>
              </w:rPr>
              <w:t>身高</w:t>
            </w:r>
          </w:p>
        </w:tc>
        <w:tc>
          <w:tcPr>
            <w:tcW w:w="0" w:type="auto"/>
            <w:vAlign w:val="center"/>
          </w:tcPr>
          <w:p w14:paraId="0A947FBB">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lang w:bidi="ar"/>
              </w:rPr>
              <w:t>1.25~1.35m</w:t>
            </w:r>
          </w:p>
        </w:tc>
        <w:tc>
          <w:tcPr>
            <w:tcW w:w="0" w:type="auto"/>
            <w:vMerge w:val="restart"/>
          </w:tcPr>
          <w:p w14:paraId="5DD59942">
            <w:pPr>
              <w:spacing w:line="360" w:lineRule="auto"/>
              <w:rPr>
                <w:rFonts w:hint="eastAsia" w:ascii="宋体" w:hAnsi="宋体" w:eastAsia="宋体" w:cs="宋体"/>
                <w:sz w:val="21"/>
                <w:szCs w:val="21"/>
              </w:rPr>
            </w:pPr>
            <w:r>
              <w:rPr>
                <w:rFonts w:hint="eastAsia" w:ascii="宋体" w:hAnsi="宋体" w:eastAsia="宋体" w:cs="宋体"/>
                <w:sz w:val="21"/>
                <w:szCs w:val="21"/>
              </w:rPr>
              <w:t>1</w:t>
            </w:r>
          </w:p>
        </w:tc>
      </w:tr>
      <w:tr w14:paraId="4333F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A1F5955">
            <w:pPr>
              <w:widowControl/>
              <w:jc w:val="right"/>
              <w:textAlignment w:val="center"/>
              <w:rPr>
                <w:rFonts w:hint="eastAsia" w:ascii="宋体" w:hAnsi="宋体" w:eastAsia="宋体" w:cs="宋体"/>
                <w:color w:val="000000"/>
                <w:kern w:val="0"/>
                <w:sz w:val="21"/>
                <w:szCs w:val="21"/>
                <w:highlight w:val="yellow"/>
                <w:lang w:bidi="ar"/>
              </w:rPr>
            </w:pPr>
          </w:p>
        </w:tc>
        <w:tc>
          <w:tcPr>
            <w:tcW w:w="0" w:type="auto"/>
            <w:vMerge w:val="continue"/>
            <w:vAlign w:val="center"/>
          </w:tcPr>
          <w:p w14:paraId="7CBB814D">
            <w:pPr>
              <w:widowControl/>
              <w:jc w:val="left"/>
              <w:textAlignment w:val="center"/>
              <w:rPr>
                <w:rFonts w:hint="eastAsia" w:ascii="宋体" w:hAnsi="宋体" w:eastAsia="宋体" w:cs="宋体"/>
                <w:color w:val="000000"/>
                <w:kern w:val="0"/>
                <w:sz w:val="21"/>
                <w:szCs w:val="21"/>
                <w:highlight w:val="yellow"/>
                <w:lang w:bidi="ar"/>
              </w:rPr>
            </w:pPr>
          </w:p>
        </w:tc>
        <w:tc>
          <w:tcPr>
            <w:tcW w:w="0" w:type="auto"/>
            <w:vAlign w:val="center"/>
          </w:tcPr>
          <w:p w14:paraId="653DD44D">
            <w:pPr>
              <w:widowControl/>
              <w:jc w:val="center"/>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color w:val="000000"/>
                <w:kern w:val="0"/>
                <w:sz w:val="21"/>
                <w:szCs w:val="21"/>
                <w:lang w:bidi="ar"/>
              </w:rPr>
              <w:t>重量</w:t>
            </w:r>
          </w:p>
        </w:tc>
        <w:tc>
          <w:tcPr>
            <w:tcW w:w="0" w:type="auto"/>
            <w:vAlign w:val="center"/>
          </w:tcPr>
          <w:p w14:paraId="21751519">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lang w:bidi="ar"/>
              </w:rPr>
              <w:t>&lt;45kg(含电池)</w:t>
            </w:r>
          </w:p>
        </w:tc>
        <w:tc>
          <w:tcPr>
            <w:tcW w:w="0" w:type="auto"/>
            <w:vMerge w:val="continue"/>
          </w:tcPr>
          <w:p w14:paraId="5FB9A5BC">
            <w:pPr>
              <w:spacing w:line="360" w:lineRule="auto"/>
              <w:rPr>
                <w:rFonts w:hint="eastAsia" w:ascii="宋体" w:hAnsi="宋体" w:eastAsia="宋体" w:cs="宋体"/>
                <w:sz w:val="21"/>
                <w:szCs w:val="21"/>
              </w:rPr>
            </w:pPr>
          </w:p>
        </w:tc>
      </w:tr>
      <w:tr w14:paraId="3FCE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991F255">
            <w:pPr>
              <w:widowControl/>
              <w:jc w:val="right"/>
              <w:textAlignment w:val="center"/>
              <w:rPr>
                <w:rFonts w:hint="eastAsia" w:ascii="宋体" w:hAnsi="宋体" w:eastAsia="宋体" w:cs="宋体"/>
                <w:color w:val="000000"/>
                <w:kern w:val="0"/>
                <w:sz w:val="21"/>
                <w:szCs w:val="21"/>
                <w:highlight w:val="yellow"/>
                <w:lang w:bidi="ar"/>
              </w:rPr>
            </w:pPr>
          </w:p>
        </w:tc>
        <w:tc>
          <w:tcPr>
            <w:tcW w:w="0" w:type="auto"/>
            <w:vMerge w:val="continue"/>
            <w:vAlign w:val="center"/>
          </w:tcPr>
          <w:p w14:paraId="0609F175">
            <w:pPr>
              <w:widowControl/>
              <w:jc w:val="left"/>
              <w:textAlignment w:val="center"/>
              <w:rPr>
                <w:rFonts w:hint="eastAsia" w:ascii="宋体" w:hAnsi="宋体" w:eastAsia="宋体" w:cs="宋体"/>
                <w:color w:val="000000"/>
                <w:kern w:val="0"/>
                <w:sz w:val="21"/>
                <w:szCs w:val="21"/>
                <w:highlight w:val="yellow"/>
                <w:lang w:bidi="ar"/>
              </w:rPr>
            </w:pPr>
          </w:p>
        </w:tc>
        <w:tc>
          <w:tcPr>
            <w:tcW w:w="0" w:type="auto"/>
            <w:vAlign w:val="center"/>
          </w:tcPr>
          <w:p w14:paraId="6AB5B6C2">
            <w:pPr>
              <w:widowControl/>
              <w:jc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自由度数量</w:t>
            </w:r>
          </w:p>
        </w:tc>
        <w:tc>
          <w:tcPr>
            <w:tcW w:w="0" w:type="auto"/>
            <w:vAlign w:val="center"/>
          </w:tcPr>
          <w:p w14:paraId="7D884207">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lang w:bidi="ar"/>
              </w:rPr>
              <w:t>总数不少于30个（不含末端执行器）其中头部必须具备1个自由度，腰关节必需具备3个自由度</w:t>
            </w:r>
          </w:p>
        </w:tc>
        <w:tc>
          <w:tcPr>
            <w:tcW w:w="0" w:type="auto"/>
            <w:vMerge w:val="continue"/>
          </w:tcPr>
          <w:p w14:paraId="670558C4">
            <w:pPr>
              <w:spacing w:line="360" w:lineRule="auto"/>
              <w:rPr>
                <w:rFonts w:hint="eastAsia" w:ascii="宋体" w:hAnsi="宋体" w:eastAsia="宋体" w:cs="宋体"/>
                <w:sz w:val="21"/>
                <w:szCs w:val="21"/>
              </w:rPr>
            </w:pPr>
          </w:p>
        </w:tc>
      </w:tr>
      <w:tr w14:paraId="14CC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2FEDEB3">
            <w:pPr>
              <w:widowControl/>
              <w:jc w:val="right"/>
              <w:textAlignment w:val="center"/>
              <w:rPr>
                <w:rFonts w:hint="eastAsia" w:ascii="宋体" w:hAnsi="宋体" w:eastAsia="宋体" w:cs="宋体"/>
                <w:color w:val="000000"/>
                <w:kern w:val="0"/>
                <w:sz w:val="21"/>
                <w:szCs w:val="21"/>
                <w:highlight w:val="yellow"/>
                <w:lang w:bidi="ar"/>
              </w:rPr>
            </w:pPr>
          </w:p>
        </w:tc>
        <w:tc>
          <w:tcPr>
            <w:tcW w:w="0" w:type="auto"/>
            <w:vMerge w:val="continue"/>
            <w:vAlign w:val="center"/>
          </w:tcPr>
          <w:p w14:paraId="35B51420">
            <w:pPr>
              <w:widowControl/>
              <w:jc w:val="left"/>
              <w:textAlignment w:val="center"/>
              <w:rPr>
                <w:rFonts w:hint="eastAsia" w:ascii="宋体" w:hAnsi="宋体" w:eastAsia="宋体" w:cs="宋体"/>
                <w:color w:val="000000"/>
                <w:kern w:val="0"/>
                <w:sz w:val="21"/>
                <w:szCs w:val="21"/>
                <w:highlight w:val="yellow"/>
                <w:lang w:bidi="ar"/>
              </w:rPr>
            </w:pPr>
          </w:p>
        </w:tc>
        <w:tc>
          <w:tcPr>
            <w:tcW w:w="0" w:type="auto"/>
            <w:vAlign w:val="center"/>
          </w:tcPr>
          <w:p w14:paraId="3E0A0C10">
            <w:pPr>
              <w:widowControl/>
              <w:jc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关节角度运动空间</w:t>
            </w:r>
          </w:p>
        </w:tc>
        <w:tc>
          <w:tcPr>
            <w:tcW w:w="0" w:type="auto"/>
            <w:vAlign w:val="center"/>
          </w:tcPr>
          <w:p w14:paraId="14CB1BE3">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lang w:bidi="ar"/>
              </w:rPr>
              <w:t>腰部旋转关节活动范围不小于±125°，髋俯仰关节活动范围不小于±140°</w:t>
            </w:r>
          </w:p>
        </w:tc>
        <w:tc>
          <w:tcPr>
            <w:tcW w:w="0" w:type="auto"/>
            <w:vMerge w:val="continue"/>
          </w:tcPr>
          <w:p w14:paraId="50C935EC">
            <w:pPr>
              <w:spacing w:line="360" w:lineRule="auto"/>
              <w:rPr>
                <w:rFonts w:hint="eastAsia" w:ascii="宋体" w:hAnsi="宋体" w:eastAsia="宋体" w:cs="宋体"/>
                <w:sz w:val="21"/>
                <w:szCs w:val="21"/>
              </w:rPr>
            </w:pPr>
          </w:p>
        </w:tc>
      </w:tr>
      <w:tr w14:paraId="1326F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DFEA18A">
            <w:pPr>
              <w:widowControl/>
              <w:jc w:val="right"/>
              <w:textAlignment w:val="center"/>
              <w:rPr>
                <w:rFonts w:hint="eastAsia" w:ascii="宋体" w:hAnsi="宋体" w:eastAsia="宋体" w:cs="宋体"/>
                <w:color w:val="000000"/>
                <w:kern w:val="0"/>
                <w:sz w:val="21"/>
                <w:szCs w:val="21"/>
                <w:highlight w:val="yellow"/>
                <w:lang w:bidi="ar"/>
              </w:rPr>
            </w:pPr>
          </w:p>
        </w:tc>
        <w:tc>
          <w:tcPr>
            <w:tcW w:w="0" w:type="auto"/>
            <w:vMerge w:val="continue"/>
            <w:vAlign w:val="center"/>
          </w:tcPr>
          <w:p w14:paraId="13A7D444">
            <w:pPr>
              <w:widowControl/>
              <w:jc w:val="left"/>
              <w:textAlignment w:val="center"/>
              <w:rPr>
                <w:rFonts w:hint="eastAsia" w:ascii="宋体" w:hAnsi="宋体" w:eastAsia="宋体" w:cs="宋体"/>
                <w:color w:val="000000"/>
                <w:kern w:val="0"/>
                <w:sz w:val="21"/>
                <w:szCs w:val="21"/>
                <w:highlight w:val="yellow"/>
                <w:lang w:bidi="ar"/>
              </w:rPr>
            </w:pPr>
          </w:p>
        </w:tc>
        <w:tc>
          <w:tcPr>
            <w:tcW w:w="0" w:type="auto"/>
            <w:vAlign w:val="center"/>
          </w:tcPr>
          <w:p w14:paraId="302FB002">
            <w:pPr>
              <w:widowControl/>
              <w:jc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单臂展</w:t>
            </w:r>
          </w:p>
        </w:tc>
        <w:tc>
          <w:tcPr>
            <w:tcW w:w="0" w:type="auto"/>
            <w:vAlign w:val="center"/>
          </w:tcPr>
          <w:p w14:paraId="53E88670">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lang w:bidi="ar"/>
              </w:rPr>
              <w:t>不小于550mm</w:t>
            </w:r>
          </w:p>
        </w:tc>
        <w:tc>
          <w:tcPr>
            <w:tcW w:w="0" w:type="auto"/>
            <w:vMerge w:val="continue"/>
          </w:tcPr>
          <w:p w14:paraId="7AB3D266">
            <w:pPr>
              <w:spacing w:line="360" w:lineRule="auto"/>
              <w:rPr>
                <w:rFonts w:hint="eastAsia" w:ascii="宋体" w:hAnsi="宋体" w:eastAsia="宋体" w:cs="宋体"/>
                <w:sz w:val="21"/>
                <w:szCs w:val="21"/>
              </w:rPr>
            </w:pPr>
          </w:p>
        </w:tc>
      </w:tr>
      <w:tr w14:paraId="358B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A97DFF9">
            <w:pPr>
              <w:widowControl/>
              <w:jc w:val="right"/>
              <w:textAlignment w:val="center"/>
              <w:rPr>
                <w:rFonts w:hint="eastAsia" w:ascii="宋体" w:hAnsi="宋体" w:eastAsia="宋体" w:cs="宋体"/>
                <w:color w:val="000000"/>
                <w:kern w:val="0"/>
                <w:sz w:val="21"/>
                <w:szCs w:val="21"/>
                <w:highlight w:val="yellow"/>
                <w:lang w:bidi="ar"/>
              </w:rPr>
            </w:pPr>
          </w:p>
        </w:tc>
        <w:tc>
          <w:tcPr>
            <w:tcW w:w="0" w:type="auto"/>
            <w:vMerge w:val="continue"/>
            <w:vAlign w:val="center"/>
          </w:tcPr>
          <w:p w14:paraId="6578CE88">
            <w:pPr>
              <w:widowControl/>
              <w:jc w:val="left"/>
              <w:textAlignment w:val="center"/>
              <w:rPr>
                <w:rFonts w:hint="eastAsia" w:ascii="宋体" w:hAnsi="宋体" w:eastAsia="宋体" w:cs="宋体"/>
                <w:color w:val="000000"/>
                <w:kern w:val="0"/>
                <w:sz w:val="21"/>
                <w:szCs w:val="21"/>
                <w:highlight w:val="yellow"/>
                <w:lang w:bidi="ar"/>
              </w:rPr>
            </w:pPr>
          </w:p>
        </w:tc>
        <w:tc>
          <w:tcPr>
            <w:tcW w:w="0" w:type="auto"/>
            <w:vAlign w:val="center"/>
          </w:tcPr>
          <w:p w14:paraId="4ED59E8F">
            <w:pPr>
              <w:widowControl/>
              <w:jc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行走速度</w:t>
            </w:r>
          </w:p>
        </w:tc>
        <w:tc>
          <w:tcPr>
            <w:tcW w:w="0" w:type="auto"/>
            <w:vAlign w:val="center"/>
          </w:tcPr>
          <w:p w14:paraId="6C24BFE2">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lang w:bidi="ar"/>
              </w:rPr>
              <w:t>最大行走速度不小于1.5m/s</w:t>
            </w:r>
          </w:p>
        </w:tc>
        <w:tc>
          <w:tcPr>
            <w:tcW w:w="0" w:type="auto"/>
            <w:vMerge w:val="continue"/>
          </w:tcPr>
          <w:p w14:paraId="4423C20C">
            <w:pPr>
              <w:spacing w:line="360" w:lineRule="auto"/>
              <w:rPr>
                <w:rFonts w:hint="eastAsia" w:ascii="宋体" w:hAnsi="宋体" w:eastAsia="宋体" w:cs="宋体"/>
                <w:sz w:val="21"/>
                <w:szCs w:val="21"/>
              </w:rPr>
            </w:pPr>
          </w:p>
        </w:tc>
      </w:tr>
      <w:tr w14:paraId="1453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B330C87">
            <w:pPr>
              <w:widowControl/>
              <w:jc w:val="right"/>
              <w:textAlignment w:val="center"/>
              <w:rPr>
                <w:rFonts w:hint="eastAsia" w:ascii="宋体" w:hAnsi="宋体" w:eastAsia="宋体" w:cs="宋体"/>
                <w:color w:val="000000"/>
                <w:kern w:val="0"/>
                <w:sz w:val="21"/>
                <w:szCs w:val="21"/>
                <w:highlight w:val="yellow"/>
                <w:lang w:bidi="ar"/>
              </w:rPr>
            </w:pPr>
          </w:p>
        </w:tc>
        <w:tc>
          <w:tcPr>
            <w:tcW w:w="0" w:type="auto"/>
            <w:vMerge w:val="continue"/>
            <w:vAlign w:val="center"/>
          </w:tcPr>
          <w:p w14:paraId="3B487F5C">
            <w:pPr>
              <w:widowControl/>
              <w:jc w:val="left"/>
              <w:textAlignment w:val="center"/>
              <w:rPr>
                <w:rFonts w:hint="eastAsia" w:ascii="宋体" w:hAnsi="宋体" w:eastAsia="宋体" w:cs="宋体"/>
                <w:color w:val="000000"/>
                <w:kern w:val="0"/>
                <w:sz w:val="21"/>
                <w:szCs w:val="21"/>
                <w:highlight w:val="yellow"/>
                <w:lang w:bidi="ar"/>
              </w:rPr>
            </w:pPr>
          </w:p>
        </w:tc>
        <w:tc>
          <w:tcPr>
            <w:tcW w:w="0" w:type="auto"/>
            <w:vAlign w:val="center"/>
          </w:tcPr>
          <w:p w14:paraId="512DF14C">
            <w:pPr>
              <w:widowControl/>
              <w:jc w:val="center"/>
              <w:rPr>
                <w:rFonts w:hint="eastAsia" w:ascii="宋体" w:hAnsi="宋体" w:eastAsia="宋体" w:cs="宋体"/>
                <w:sz w:val="21"/>
                <w:szCs w:val="21"/>
              </w:rPr>
            </w:pPr>
            <w:r>
              <w:rPr>
                <w:rFonts w:hint="eastAsia" w:ascii="宋体" w:hAnsi="宋体" w:eastAsia="宋体" w:cs="宋体"/>
                <w:kern w:val="0"/>
                <w:sz w:val="21"/>
                <w:szCs w:val="21"/>
                <w:lang w:bidi="ar"/>
              </w:rPr>
              <w:t>是否支持换电</w:t>
            </w:r>
          </w:p>
        </w:tc>
        <w:tc>
          <w:tcPr>
            <w:tcW w:w="0" w:type="auto"/>
            <w:vAlign w:val="center"/>
          </w:tcPr>
          <w:p w14:paraId="5DF75FB3">
            <w:pPr>
              <w:widowControl/>
              <w:jc w:val="left"/>
              <w:rPr>
                <w:rFonts w:hint="eastAsia" w:ascii="宋体" w:hAnsi="宋体" w:eastAsia="宋体" w:cs="宋体"/>
                <w:sz w:val="21"/>
                <w:szCs w:val="21"/>
              </w:rPr>
            </w:pPr>
            <w:r>
              <w:rPr>
                <w:rFonts w:hint="eastAsia" w:ascii="宋体" w:hAnsi="宋体" w:eastAsia="宋体" w:cs="宋体"/>
                <w:kern w:val="0"/>
                <w:sz w:val="21"/>
                <w:szCs w:val="21"/>
                <w:lang w:bidi="ar"/>
              </w:rPr>
              <w:t>支持，可选配自动充电</w:t>
            </w:r>
          </w:p>
        </w:tc>
        <w:tc>
          <w:tcPr>
            <w:tcW w:w="0" w:type="auto"/>
            <w:vMerge w:val="continue"/>
          </w:tcPr>
          <w:p w14:paraId="7B366A4B">
            <w:pPr>
              <w:spacing w:line="360" w:lineRule="auto"/>
              <w:rPr>
                <w:rFonts w:hint="eastAsia" w:ascii="宋体" w:hAnsi="宋体" w:eastAsia="宋体" w:cs="宋体"/>
                <w:sz w:val="21"/>
                <w:szCs w:val="21"/>
              </w:rPr>
            </w:pPr>
          </w:p>
        </w:tc>
      </w:tr>
      <w:tr w14:paraId="7644F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CAEC19C">
            <w:pPr>
              <w:widowControl/>
              <w:jc w:val="right"/>
              <w:textAlignment w:val="center"/>
              <w:rPr>
                <w:rFonts w:hint="eastAsia" w:ascii="宋体" w:hAnsi="宋体" w:eastAsia="宋体" w:cs="宋体"/>
                <w:color w:val="000000"/>
                <w:kern w:val="0"/>
                <w:sz w:val="21"/>
                <w:szCs w:val="21"/>
                <w:highlight w:val="yellow"/>
                <w:lang w:bidi="ar"/>
              </w:rPr>
            </w:pPr>
          </w:p>
        </w:tc>
        <w:tc>
          <w:tcPr>
            <w:tcW w:w="0" w:type="auto"/>
            <w:vMerge w:val="continue"/>
            <w:vAlign w:val="center"/>
          </w:tcPr>
          <w:p w14:paraId="3638A828">
            <w:pPr>
              <w:widowControl/>
              <w:jc w:val="left"/>
              <w:textAlignment w:val="center"/>
              <w:rPr>
                <w:rFonts w:hint="eastAsia" w:ascii="宋体" w:hAnsi="宋体" w:eastAsia="宋体" w:cs="宋体"/>
                <w:color w:val="000000"/>
                <w:kern w:val="0"/>
                <w:sz w:val="21"/>
                <w:szCs w:val="21"/>
                <w:highlight w:val="yellow"/>
                <w:lang w:bidi="ar"/>
              </w:rPr>
            </w:pPr>
          </w:p>
        </w:tc>
        <w:tc>
          <w:tcPr>
            <w:tcW w:w="0" w:type="auto"/>
            <w:vAlign w:val="center"/>
          </w:tcPr>
          <w:p w14:paraId="2A949414">
            <w:pPr>
              <w:widowControl/>
              <w:jc w:val="center"/>
              <w:rPr>
                <w:rFonts w:hint="eastAsia" w:ascii="宋体" w:hAnsi="宋体" w:eastAsia="宋体" w:cs="宋体"/>
                <w:sz w:val="21"/>
                <w:szCs w:val="21"/>
              </w:rPr>
            </w:pPr>
            <w:r>
              <w:rPr>
                <w:rFonts w:hint="eastAsia" w:ascii="宋体" w:hAnsi="宋体" w:eastAsia="宋体" w:cs="宋体"/>
                <w:kern w:val="0"/>
                <w:sz w:val="21"/>
                <w:szCs w:val="21"/>
                <w:lang w:bidi="ar"/>
              </w:rPr>
              <w:t>是否支持插头充电</w:t>
            </w:r>
          </w:p>
        </w:tc>
        <w:tc>
          <w:tcPr>
            <w:tcW w:w="0" w:type="auto"/>
            <w:vAlign w:val="center"/>
          </w:tcPr>
          <w:p w14:paraId="100A752B">
            <w:pPr>
              <w:widowControl/>
              <w:jc w:val="left"/>
              <w:rPr>
                <w:rFonts w:hint="eastAsia" w:ascii="宋体" w:hAnsi="宋体" w:eastAsia="宋体" w:cs="宋体"/>
                <w:sz w:val="21"/>
                <w:szCs w:val="21"/>
              </w:rPr>
            </w:pPr>
            <w:r>
              <w:rPr>
                <w:rFonts w:hint="eastAsia" w:ascii="宋体" w:hAnsi="宋体" w:eastAsia="宋体" w:cs="宋体"/>
                <w:kern w:val="0"/>
                <w:sz w:val="21"/>
                <w:szCs w:val="21"/>
                <w:lang w:bidi="ar"/>
              </w:rPr>
              <w:t>支持插头直接为整机充电</w:t>
            </w:r>
          </w:p>
        </w:tc>
        <w:tc>
          <w:tcPr>
            <w:tcW w:w="0" w:type="auto"/>
            <w:vMerge w:val="continue"/>
          </w:tcPr>
          <w:p w14:paraId="0573A2B8">
            <w:pPr>
              <w:spacing w:line="360" w:lineRule="auto"/>
              <w:rPr>
                <w:rFonts w:hint="eastAsia" w:ascii="宋体" w:hAnsi="宋体" w:eastAsia="宋体" w:cs="宋体"/>
                <w:sz w:val="21"/>
                <w:szCs w:val="21"/>
              </w:rPr>
            </w:pPr>
          </w:p>
        </w:tc>
      </w:tr>
      <w:tr w14:paraId="27AB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F7AB041">
            <w:pPr>
              <w:widowControl/>
              <w:jc w:val="right"/>
              <w:textAlignment w:val="center"/>
              <w:rPr>
                <w:rFonts w:hint="eastAsia" w:ascii="宋体" w:hAnsi="宋体" w:eastAsia="宋体" w:cs="宋体"/>
                <w:color w:val="000000"/>
                <w:kern w:val="0"/>
                <w:sz w:val="21"/>
                <w:szCs w:val="21"/>
                <w:highlight w:val="yellow"/>
                <w:lang w:bidi="ar"/>
              </w:rPr>
            </w:pPr>
          </w:p>
        </w:tc>
        <w:tc>
          <w:tcPr>
            <w:tcW w:w="0" w:type="auto"/>
            <w:vMerge w:val="continue"/>
            <w:vAlign w:val="center"/>
          </w:tcPr>
          <w:p w14:paraId="745EFF59">
            <w:pPr>
              <w:widowControl/>
              <w:jc w:val="left"/>
              <w:textAlignment w:val="center"/>
              <w:rPr>
                <w:rFonts w:hint="eastAsia" w:ascii="宋体" w:hAnsi="宋体" w:eastAsia="宋体" w:cs="宋体"/>
                <w:color w:val="000000"/>
                <w:kern w:val="0"/>
                <w:sz w:val="21"/>
                <w:szCs w:val="21"/>
                <w:highlight w:val="yellow"/>
                <w:lang w:bidi="ar"/>
              </w:rPr>
            </w:pPr>
          </w:p>
        </w:tc>
        <w:tc>
          <w:tcPr>
            <w:tcW w:w="0" w:type="auto"/>
            <w:vAlign w:val="center"/>
          </w:tcPr>
          <w:p w14:paraId="72E7BCBB">
            <w:pPr>
              <w:widowControl/>
              <w:jc w:val="center"/>
              <w:rPr>
                <w:rFonts w:hint="eastAsia" w:ascii="宋体" w:hAnsi="宋体" w:eastAsia="宋体" w:cs="宋体"/>
                <w:sz w:val="21"/>
                <w:szCs w:val="21"/>
              </w:rPr>
            </w:pPr>
            <w:r>
              <w:rPr>
                <w:rFonts w:hint="eastAsia" w:ascii="宋体" w:hAnsi="宋体" w:eastAsia="宋体" w:cs="宋体"/>
                <w:kern w:val="0"/>
                <w:sz w:val="21"/>
                <w:szCs w:val="21"/>
                <w:lang w:bidi="ar"/>
              </w:rPr>
              <w:t>续航时间</w:t>
            </w:r>
          </w:p>
        </w:tc>
        <w:tc>
          <w:tcPr>
            <w:tcW w:w="0" w:type="auto"/>
            <w:vAlign w:val="center"/>
          </w:tcPr>
          <w:p w14:paraId="718B7170">
            <w:pPr>
              <w:widowControl/>
              <w:jc w:val="left"/>
              <w:rPr>
                <w:rFonts w:hint="eastAsia" w:ascii="宋体" w:hAnsi="宋体" w:eastAsia="宋体" w:cs="宋体"/>
                <w:sz w:val="21"/>
                <w:szCs w:val="21"/>
              </w:rPr>
            </w:pPr>
            <w:r>
              <w:rPr>
                <w:rFonts w:hint="eastAsia" w:ascii="宋体" w:hAnsi="宋体" w:eastAsia="宋体" w:cs="宋体"/>
                <w:kern w:val="0"/>
                <w:sz w:val="21"/>
                <w:szCs w:val="21"/>
                <w:lang w:bidi="ar"/>
              </w:rPr>
              <w:t>0.5m/s连续行走续航不低于2h</w:t>
            </w:r>
          </w:p>
        </w:tc>
        <w:tc>
          <w:tcPr>
            <w:tcW w:w="0" w:type="auto"/>
            <w:vMerge w:val="continue"/>
          </w:tcPr>
          <w:p w14:paraId="4A278720">
            <w:pPr>
              <w:spacing w:line="360" w:lineRule="auto"/>
              <w:rPr>
                <w:rFonts w:hint="eastAsia" w:ascii="宋体" w:hAnsi="宋体" w:eastAsia="宋体" w:cs="宋体"/>
                <w:sz w:val="21"/>
                <w:szCs w:val="21"/>
              </w:rPr>
            </w:pPr>
          </w:p>
        </w:tc>
      </w:tr>
      <w:tr w14:paraId="3809A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2F1DB3E">
            <w:pPr>
              <w:widowControl/>
              <w:jc w:val="right"/>
              <w:textAlignment w:val="center"/>
              <w:rPr>
                <w:rFonts w:hint="eastAsia" w:ascii="宋体" w:hAnsi="宋体" w:eastAsia="宋体" w:cs="宋体"/>
                <w:color w:val="000000"/>
                <w:kern w:val="0"/>
                <w:sz w:val="21"/>
                <w:szCs w:val="21"/>
                <w:highlight w:val="yellow"/>
                <w:lang w:bidi="ar"/>
              </w:rPr>
            </w:pPr>
          </w:p>
        </w:tc>
        <w:tc>
          <w:tcPr>
            <w:tcW w:w="0" w:type="auto"/>
            <w:vMerge w:val="continue"/>
            <w:vAlign w:val="center"/>
          </w:tcPr>
          <w:p w14:paraId="4C16E810">
            <w:pPr>
              <w:widowControl/>
              <w:jc w:val="left"/>
              <w:textAlignment w:val="center"/>
              <w:rPr>
                <w:rFonts w:hint="eastAsia" w:ascii="宋体" w:hAnsi="宋体" w:eastAsia="宋体" w:cs="宋体"/>
                <w:color w:val="000000"/>
                <w:kern w:val="0"/>
                <w:sz w:val="21"/>
                <w:szCs w:val="21"/>
                <w:highlight w:val="yellow"/>
                <w:lang w:bidi="ar"/>
              </w:rPr>
            </w:pPr>
          </w:p>
        </w:tc>
        <w:tc>
          <w:tcPr>
            <w:tcW w:w="0" w:type="auto"/>
            <w:vAlign w:val="center"/>
          </w:tcPr>
          <w:p w14:paraId="054EEFB5">
            <w:pPr>
              <w:widowControl/>
              <w:jc w:val="center"/>
              <w:rPr>
                <w:rFonts w:hint="eastAsia" w:ascii="宋体" w:hAnsi="宋体" w:eastAsia="宋体" w:cs="宋体"/>
                <w:sz w:val="21"/>
                <w:szCs w:val="21"/>
              </w:rPr>
            </w:pPr>
            <w:r>
              <w:rPr>
                <w:rFonts w:hint="eastAsia" w:ascii="宋体" w:hAnsi="宋体" w:eastAsia="宋体" w:cs="宋体"/>
                <w:kern w:val="0"/>
                <w:sz w:val="21"/>
                <w:szCs w:val="21"/>
                <w:lang w:bidi="ar"/>
              </w:rPr>
              <w:t>感知传感器</w:t>
            </w:r>
          </w:p>
        </w:tc>
        <w:tc>
          <w:tcPr>
            <w:tcW w:w="0" w:type="auto"/>
            <w:vAlign w:val="center"/>
          </w:tcPr>
          <w:p w14:paraId="5B512C08">
            <w:pPr>
              <w:widowControl/>
              <w:jc w:val="left"/>
              <w:rPr>
                <w:rFonts w:hint="eastAsia" w:ascii="宋体" w:hAnsi="宋体" w:eastAsia="宋体" w:cs="宋体"/>
                <w:sz w:val="21"/>
                <w:szCs w:val="21"/>
              </w:rPr>
            </w:pPr>
            <w:r>
              <w:rPr>
                <w:rFonts w:hint="eastAsia" w:ascii="宋体" w:hAnsi="宋体" w:eastAsia="宋体" w:cs="宋体"/>
                <w:kern w:val="0"/>
                <w:sz w:val="21"/>
                <w:szCs w:val="21"/>
                <w:lang w:bidi="ar"/>
              </w:rPr>
              <w:t>包含激光、RGBD摄像头、前置RGB摄像头、后置RGB摄像头、触摸传感器</w:t>
            </w:r>
          </w:p>
        </w:tc>
        <w:tc>
          <w:tcPr>
            <w:tcW w:w="0" w:type="auto"/>
            <w:vMerge w:val="continue"/>
          </w:tcPr>
          <w:p w14:paraId="7BFC4025">
            <w:pPr>
              <w:spacing w:line="360" w:lineRule="auto"/>
              <w:rPr>
                <w:rFonts w:hint="eastAsia" w:ascii="宋体" w:hAnsi="宋体" w:eastAsia="宋体" w:cs="宋体"/>
                <w:sz w:val="21"/>
                <w:szCs w:val="21"/>
              </w:rPr>
            </w:pPr>
          </w:p>
        </w:tc>
      </w:tr>
      <w:tr w14:paraId="7B0D3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D1F38E6">
            <w:pPr>
              <w:widowControl/>
              <w:jc w:val="right"/>
              <w:textAlignment w:val="center"/>
              <w:rPr>
                <w:rFonts w:hint="eastAsia" w:ascii="宋体" w:hAnsi="宋体" w:eastAsia="宋体" w:cs="宋体"/>
                <w:color w:val="000000"/>
                <w:kern w:val="0"/>
                <w:sz w:val="21"/>
                <w:szCs w:val="21"/>
                <w:highlight w:val="yellow"/>
                <w:lang w:bidi="ar"/>
              </w:rPr>
            </w:pPr>
          </w:p>
        </w:tc>
        <w:tc>
          <w:tcPr>
            <w:tcW w:w="0" w:type="auto"/>
            <w:vMerge w:val="continue"/>
            <w:vAlign w:val="center"/>
          </w:tcPr>
          <w:p w14:paraId="434B4D88">
            <w:pPr>
              <w:widowControl/>
              <w:jc w:val="left"/>
              <w:textAlignment w:val="center"/>
              <w:rPr>
                <w:rFonts w:hint="eastAsia" w:ascii="宋体" w:hAnsi="宋体" w:eastAsia="宋体" w:cs="宋体"/>
                <w:color w:val="000000"/>
                <w:kern w:val="0"/>
                <w:sz w:val="21"/>
                <w:szCs w:val="21"/>
                <w:highlight w:val="yellow"/>
                <w:lang w:bidi="ar"/>
              </w:rPr>
            </w:pPr>
          </w:p>
        </w:tc>
        <w:tc>
          <w:tcPr>
            <w:tcW w:w="0" w:type="auto"/>
            <w:vAlign w:val="center"/>
          </w:tcPr>
          <w:p w14:paraId="1943282F">
            <w:pPr>
              <w:widowControl/>
              <w:jc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交互硬件</w:t>
            </w:r>
          </w:p>
        </w:tc>
        <w:tc>
          <w:tcPr>
            <w:tcW w:w="0" w:type="auto"/>
            <w:vAlign w:val="center"/>
          </w:tcPr>
          <w:p w14:paraId="406A4AD3">
            <w:pPr>
              <w:widowControl/>
              <w:jc w:val="left"/>
              <w:rPr>
                <w:rFonts w:hint="eastAsia" w:ascii="宋体" w:hAnsi="宋体" w:eastAsia="宋体" w:cs="宋体"/>
                <w:sz w:val="21"/>
                <w:szCs w:val="21"/>
              </w:rPr>
            </w:pPr>
            <w:r>
              <w:rPr>
                <w:rFonts w:hint="eastAsia" w:ascii="宋体" w:hAnsi="宋体" w:eastAsia="宋体" w:cs="宋体"/>
                <w:kern w:val="0"/>
                <w:sz w:val="21"/>
                <w:szCs w:val="21"/>
                <w:lang w:bidi="ar"/>
              </w:rPr>
              <w:t>必需包含表情屏幕、阵列麦克风、扬声器</w:t>
            </w:r>
          </w:p>
        </w:tc>
        <w:tc>
          <w:tcPr>
            <w:tcW w:w="0" w:type="auto"/>
            <w:vMerge w:val="continue"/>
          </w:tcPr>
          <w:p w14:paraId="30CCC291">
            <w:pPr>
              <w:spacing w:line="360" w:lineRule="auto"/>
              <w:rPr>
                <w:rFonts w:hint="eastAsia" w:ascii="宋体" w:hAnsi="宋体" w:eastAsia="宋体" w:cs="宋体"/>
                <w:sz w:val="21"/>
                <w:szCs w:val="21"/>
              </w:rPr>
            </w:pPr>
          </w:p>
        </w:tc>
      </w:tr>
      <w:tr w14:paraId="0B2F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27F2023">
            <w:pPr>
              <w:widowControl/>
              <w:jc w:val="right"/>
              <w:textAlignment w:val="center"/>
              <w:rPr>
                <w:rFonts w:hint="eastAsia" w:ascii="宋体" w:hAnsi="宋体" w:eastAsia="宋体" w:cs="宋体"/>
                <w:color w:val="000000"/>
                <w:kern w:val="0"/>
                <w:sz w:val="21"/>
                <w:szCs w:val="21"/>
                <w:highlight w:val="yellow"/>
                <w:lang w:bidi="ar"/>
              </w:rPr>
            </w:pPr>
          </w:p>
        </w:tc>
        <w:tc>
          <w:tcPr>
            <w:tcW w:w="0" w:type="auto"/>
            <w:vMerge w:val="continue"/>
            <w:vAlign w:val="center"/>
          </w:tcPr>
          <w:p w14:paraId="1388CE1F">
            <w:pPr>
              <w:widowControl/>
              <w:jc w:val="left"/>
              <w:textAlignment w:val="center"/>
              <w:rPr>
                <w:rFonts w:hint="eastAsia" w:ascii="宋体" w:hAnsi="宋体" w:eastAsia="宋体" w:cs="宋体"/>
                <w:color w:val="000000"/>
                <w:kern w:val="0"/>
                <w:sz w:val="21"/>
                <w:szCs w:val="21"/>
                <w:highlight w:val="yellow"/>
                <w:lang w:bidi="ar"/>
              </w:rPr>
            </w:pPr>
          </w:p>
        </w:tc>
        <w:tc>
          <w:tcPr>
            <w:tcW w:w="0" w:type="auto"/>
            <w:vAlign w:val="center"/>
          </w:tcPr>
          <w:p w14:paraId="44F24092">
            <w:pPr>
              <w:widowControl/>
              <w:jc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手臂负载</w:t>
            </w:r>
          </w:p>
        </w:tc>
        <w:tc>
          <w:tcPr>
            <w:tcW w:w="0" w:type="auto"/>
            <w:vAlign w:val="center"/>
          </w:tcPr>
          <w:p w14:paraId="242B4D62">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lang w:bidi="ar"/>
              </w:rPr>
              <w:t>单臂平举负载不低于1kg</w:t>
            </w:r>
          </w:p>
        </w:tc>
        <w:tc>
          <w:tcPr>
            <w:tcW w:w="0" w:type="auto"/>
            <w:vMerge w:val="continue"/>
          </w:tcPr>
          <w:p w14:paraId="37410EBE">
            <w:pPr>
              <w:spacing w:line="360" w:lineRule="auto"/>
              <w:rPr>
                <w:rFonts w:hint="eastAsia" w:ascii="宋体" w:hAnsi="宋体" w:eastAsia="宋体" w:cs="宋体"/>
                <w:sz w:val="21"/>
                <w:szCs w:val="21"/>
              </w:rPr>
            </w:pPr>
          </w:p>
        </w:tc>
      </w:tr>
      <w:tr w14:paraId="1391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3D4ADD3">
            <w:pPr>
              <w:widowControl/>
              <w:jc w:val="right"/>
              <w:textAlignment w:val="center"/>
              <w:rPr>
                <w:rFonts w:hint="eastAsia" w:ascii="宋体" w:hAnsi="宋体" w:eastAsia="宋体" w:cs="宋体"/>
                <w:color w:val="000000"/>
                <w:kern w:val="0"/>
                <w:sz w:val="21"/>
                <w:szCs w:val="21"/>
                <w:highlight w:val="yellow"/>
                <w:lang w:bidi="ar"/>
              </w:rPr>
            </w:pPr>
          </w:p>
        </w:tc>
        <w:tc>
          <w:tcPr>
            <w:tcW w:w="0" w:type="auto"/>
            <w:vMerge w:val="continue"/>
            <w:vAlign w:val="center"/>
          </w:tcPr>
          <w:p w14:paraId="680AC855">
            <w:pPr>
              <w:widowControl/>
              <w:jc w:val="left"/>
              <w:textAlignment w:val="center"/>
              <w:rPr>
                <w:rFonts w:hint="eastAsia" w:ascii="宋体" w:hAnsi="宋体" w:eastAsia="宋体" w:cs="宋体"/>
                <w:color w:val="000000"/>
                <w:kern w:val="0"/>
                <w:sz w:val="21"/>
                <w:szCs w:val="21"/>
                <w:highlight w:val="yellow"/>
                <w:lang w:bidi="ar"/>
              </w:rPr>
            </w:pPr>
          </w:p>
        </w:tc>
        <w:tc>
          <w:tcPr>
            <w:tcW w:w="0" w:type="auto"/>
            <w:vAlign w:val="center"/>
          </w:tcPr>
          <w:p w14:paraId="11652F73">
            <w:pPr>
              <w:widowControl/>
              <w:jc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算力模组</w:t>
            </w:r>
          </w:p>
        </w:tc>
        <w:tc>
          <w:tcPr>
            <w:tcW w:w="0" w:type="auto"/>
            <w:vAlign w:val="center"/>
          </w:tcPr>
          <w:p w14:paraId="6E0896C5">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lang w:bidi="ar"/>
              </w:rPr>
              <w:t>算力不小于150TOPS</w:t>
            </w:r>
          </w:p>
        </w:tc>
        <w:tc>
          <w:tcPr>
            <w:tcW w:w="0" w:type="auto"/>
            <w:vMerge w:val="continue"/>
          </w:tcPr>
          <w:p w14:paraId="4A1C77FE">
            <w:pPr>
              <w:spacing w:line="360" w:lineRule="auto"/>
              <w:rPr>
                <w:rFonts w:hint="eastAsia" w:ascii="宋体" w:hAnsi="宋体" w:eastAsia="宋体" w:cs="宋体"/>
                <w:sz w:val="21"/>
                <w:szCs w:val="21"/>
              </w:rPr>
            </w:pPr>
          </w:p>
        </w:tc>
      </w:tr>
      <w:tr w14:paraId="6CAE8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DDA3C01">
            <w:pPr>
              <w:widowControl/>
              <w:jc w:val="right"/>
              <w:textAlignment w:val="center"/>
              <w:rPr>
                <w:rFonts w:hint="eastAsia" w:ascii="宋体" w:hAnsi="宋体" w:eastAsia="宋体" w:cs="宋体"/>
                <w:color w:val="000000"/>
                <w:kern w:val="0"/>
                <w:sz w:val="21"/>
                <w:szCs w:val="21"/>
                <w:highlight w:val="yellow"/>
                <w:lang w:bidi="ar"/>
              </w:rPr>
            </w:pPr>
          </w:p>
        </w:tc>
        <w:tc>
          <w:tcPr>
            <w:tcW w:w="0" w:type="auto"/>
            <w:vMerge w:val="continue"/>
            <w:vAlign w:val="center"/>
          </w:tcPr>
          <w:p w14:paraId="6DBD0479">
            <w:pPr>
              <w:widowControl/>
              <w:jc w:val="left"/>
              <w:textAlignment w:val="center"/>
              <w:rPr>
                <w:rFonts w:hint="eastAsia" w:ascii="宋体" w:hAnsi="宋体" w:eastAsia="宋体" w:cs="宋体"/>
                <w:color w:val="000000"/>
                <w:kern w:val="0"/>
                <w:sz w:val="21"/>
                <w:szCs w:val="21"/>
                <w:highlight w:val="yellow"/>
                <w:lang w:bidi="ar"/>
              </w:rPr>
            </w:pPr>
          </w:p>
        </w:tc>
        <w:tc>
          <w:tcPr>
            <w:tcW w:w="0" w:type="auto"/>
            <w:vAlign w:val="center"/>
          </w:tcPr>
          <w:p w14:paraId="2E846FA0">
            <w:pPr>
              <w:widowControl/>
              <w:jc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二次开发开放接口</w:t>
            </w:r>
          </w:p>
        </w:tc>
        <w:tc>
          <w:tcPr>
            <w:tcW w:w="0" w:type="auto"/>
            <w:vAlign w:val="center"/>
          </w:tcPr>
          <w:p w14:paraId="3CD476ED">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lang w:bidi="ar"/>
              </w:rPr>
              <w:t>能够提供接口协议及二次开发接口包括高层运动接口和底层硬件接口（包括关节速度、位置、力矩等），能够获取传感器信息。</w:t>
            </w:r>
          </w:p>
        </w:tc>
        <w:tc>
          <w:tcPr>
            <w:tcW w:w="0" w:type="auto"/>
            <w:vMerge w:val="continue"/>
          </w:tcPr>
          <w:p w14:paraId="0B3BA47D">
            <w:pPr>
              <w:spacing w:line="360" w:lineRule="auto"/>
              <w:rPr>
                <w:rFonts w:hint="eastAsia" w:ascii="宋体" w:hAnsi="宋体" w:eastAsia="宋体" w:cs="宋体"/>
                <w:sz w:val="21"/>
                <w:szCs w:val="21"/>
              </w:rPr>
            </w:pPr>
          </w:p>
        </w:tc>
      </w:tr>
      <w:tr w14:paraId="221D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CACC373">
            <w:pPr>
              <w:widowControl/>
              <w:jc w:val="right"/>
              <w:textAlignment w:val="center"/>
              <w:rPr>
                <w:rFonts w:hint="eastAsia" w:ascii="宋体" w:hAnsi="宋体" w:eastAsia="宋体" w:cs="宋体"/>
                <w:sz w:val="21"/>
                <w:szCs w:val="21"/>
                <w:highlight w:val="yellow"/>
              </w:rPr>
            </w:pPr>
          </w:p>
        </w:tc>
        <w:tc>
          <w:tcPr>
            <w:tcW w:w="0" w:type="auto"/>
            <w:vMerge w:val="continue"/>
            <w:vAlign w:val="center"/>
          </w:tcPr>
          <w:p w14:paraId="05AE91F9">
            <w:pPr>
              <w:widowControl/>
              <w:jc w:val="left"/>
              <w:textAlignment w:val="center"/>
              <w:rPr>
                <w:rFonts w:hint="eastAsia" w:ascii="宋体" w:hAnsi="宋体" w:eastAsia="宋体" w:cs="宋体"/>
                <w:sz w:val="21"/>
                <w:szCs w:val="21"/>
                <w:highlight w:val="yellow"/>
              </w:rPr>
            </w:pPr>
          </w:p>
        </w:tc>
        <w:tc>
          <w:tcPr>
            <w:tcW w:w="0" w:type="auto"/>
            <w:vAlign w:val="center"/>
          </w:tcPr>
          <w:p w14:paraId="49E77100">
            <w:pPr>
              <w:widowControl/>
              <w:jc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通信方式</w:t>
            </w:r>
          </w:p>
        </w:tc>
        <w:tc>
          <w:tcPr>
            <w:tcW w:w="0" w:type="auto"/>
            <w:vAlign w:val="center"/>
          </w:tcPr>
          <w:p w14:paraId="66EF92E9">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lang w:bidi="ar"/>
              </w:rPr>
              <w:t>必需具备4G/5G、wifi、蓝牙</w:t>
            </w:r>
          </w:p>
        </w:tc>
        <w:tc>
          <w:tcPr>
            <w:tcW w:w="0" w:type="auto"/>
            <w:vMerge w:val="continue"/>
          </w:tcPr>
          <w:p w14:paraId="0E847E0B">
            <w:pPr>
              <w:spacing w:line="360" w:lineRule="auto"/>
              <w:rPr>
                <w:rFonts w:hint="eastAsia" w:ascii="宋体" w:hAnsi="宋体" w:eastAsia="宋体" w:cs="宋体"/>
                <w:sz w:val="21"/>
                <w:szCs w:val="21"/>
              </w:rPr>
            </w:pPr>
          </w:p>
        </w:tc>
      </w:tr>
      <w:tr w14:paraId="395B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0" w:type="auto"/>
            <w:vMerge w:val="continue"/>
            <w:vAlign w:val="center"/>
          </w:tcPr>
          <w:p w14:paraId="42BAFD2F">
            <w:pPr>
              <w:widowControl/>
              <w:jc w:val="right"/>
              <w:textAlignment w:val="center"/>
              <w:rPr>
                <w:rFonts w:hint="eastAsia" w:ascii="宋体" w:hAnsi="宋体" w:eastAsia="宋体" w:cs="宋体"/>
                <w:sz w:val="21"/>
                <w:szCs w:val="21"/>
                <w:highlight w:val="yellow"/>
              </w:rPr>
            </w:pPr>
          </w:p>
        </w:tc>
        <w:tc>
          <w:tcPr>
            <w:tcW w:w="0" w:type="auto"/>
            <w:vMerge w:val="continue"/>
            <w:vAlign w:val="center"/>
          </w:tcPr>
          <w:p w14:paraId="25291699">
            <w:pPr>
              <w:widowControl/>
              <w:jc w:val="left"/>
              <w:textAlignment w:val="center"/>
              <w:rPr>
                <w:rFonts w:hint="eastAsia" w:ascii="宋体" w:hAnsi="宋体" w:eastAsia="宋体" w:cs="宋体"/>
                <w:sz w:val="21"/>
                <w:szCs w:val="21"/>
                <w:highlight w:val="yellow"/>
              </w:rPr>
            </w:pPr>
          </w:p>
        </w:tc>
        <w:tc>
          <w:tcPr>
            <w:tcW w:w="0" w:type="auto"/>
            <w:vAlign w:val="center"/>
          </w:tcPr>
          <w:p w14:paraId="36F0E4F6">
            <w:pPr>
              <w:jc w:val="center"/>
              <w:rPr>
                <w:rFonts w:hint="eastAsia" w:ascii="宋体" w:hAnsi="宋体" w:eastAsia="宋体" w:cs="宋体"/>
                <w:sz w:val="21"/>
                <w:szCs w:val="21"/>
              </w:rPr>
            </w:pPr>
            <w:r>
              <w:rPr>
                <w:rFonts w:hint="eastAsia" w:ascii="宋体" w:hAnsi="宋体" w:eastAsia="宋体" w:cs="宋体"/>
                <w:color w:val="000000"/>
                <w:kern w:val="0"/>
                <w:sz w:val="21"/>
                <w:szCs w:val="21"/>
                <w:lang w:bidi="ar"/>
              </w:rPr>
              <w:t>主要技术优势及特色功能</w:t>
            </w:r>
          </w:p>
        </w:tc>
        <w:tc>
          <w:tcPr>
            <w:tcW w:w="0" w:type="auto"/>
            <w:vAlign w:val="center"/>
          </w:tcPr>
          <w:p w14:paraId="29CFCCE2">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自主导航避障；</w:t>
            </w:r>
          </w:p>
          <w:p w14:paraId="181CC67F">
            <w:pPr>
              <w:jc w:val="left"/>
              <w:rPr>
                <w:rFonts w:hint="eastAsia" w:ascii="宋体" w:hAnsi="宋体" w:eastAsia="宋体" w:cs="宋体"/>
                <w:sz w:val="21"/>
                <w:szCs w:val="21"/>
              </w:rPr>
            </w:pPr>
            <w:r>
              <w:rPr>
                <w:rFonts w:hint="eastAsia" w:ascii="宋体" w:hAnsi="宋体" w:eastAsia="宋体" w:cs="宋体"/>
                <w:color w:val="000000"/>
                <w:kern w:val="0"/>
                <w:sz w:val="21"/>
                <w:szCs w:val="21"/>
                <w:lang w:bidi="ar"/>
              </w:rPr>
              <w:t>多模态交互；</w:t>
            </w:r>
          </w:p>
        </w:tc>
        <w:tc>
          <w:tcPr>
            <w:tcW w:w="0" w:type="auto"/>
            <w:vMerge w:val="continue"/>
          </w:tcPr>
          <w:p w14:paraId="02E92E5E">
            <w:pPr>
              <w:spacing w:line="360" w:lineRule="auto"/>
              <w:rPr>
                <w:rFonts w:hint="eastAsia" w:ascii="宋体" w:hAnsi="宋体" w:eastAsia="宋体" w:cs="宋体"/>
                <w:sz w:val="21"/>
                <w:szCs w:val="21"/>
              </w:rPr>
            </w:pPr>
          </w:p>
        </w:tc>
      </w:tr>
      <w:tr w14:paraId="3A8C8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9CDC4A6">
            <w:pPr>
              <w:widowControl/>
              <w:jc w:val="right"/>
              <w:textAlignment w:val="center"/>
              <w:rPr>
                <w:rFonts w:hint="eastAsia" w:ascii="宋体" w:hAnsi="宋体" w:eastAsia="宋体" w:cs="宋体"/>
                <w:sz w:val="21"/>
                <w:szCs w:val="21"/>
                <w:highlight w:val="yellow"/>
              </w:rPr>
            </w:pPr>
          </w:p>
        </w:tc>
        <w:tc>
          <w:tcPr>
            <w:tcW w:w="0" w:type="auto"/>
            <w:vMerge w:val="continue"/>
            <w:vAlign w:val="center"/>
          </w:tcPr>
          <w:p w14:paraId="67C28CD9">
            <w:pPr>
              <w:widowControl/>
              <w:jc w:val="left"/>
              <w:textAlignment w:val="center"/>
              <w:rPr>
                <w:rFonts w:hint="eastAsia" w:ascii="宋体" w:hAnsi="宋体" w:eastAsia="宋体" w:cs="宋体"/>
                <w:sz w:val="21"/>
                <w:szCs w:val="21"/>
                <w:highlight w:val="yellow"/>
              </w:rPr>
            </w:pPr>
          </w:p>
        </w:tc>
        <w:tc>
          <w:tcPr>
            <w:tcW w:w="0" w:type="auto"/>
            <w:vMerge w:val="restart"/>
            <w:vAlign w:val="center"/>
          </w:tcPr>
          <w:p w14:paraId="54D89AA1">
            <w:pPr>
              <w:widowControl/>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配件</w:t>
            </w:r>
          </w:p>
        </w:tc>
        <w:tc>
          <w:tcPr>
            <w:tcW w:w="0" w:type="auto"/>
            <w:vAlign w:val="center"/>
          </w:tcPr>
          <w:p w14:paraId="692FC4FF">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外置麦克风</w:t>
            </w:r>
          </w:p>
        </w:tc>
        <w:tc>
          <w:tcPr>
            <w:tcW w:w="0" w:type="auto"/>
            <w:vMerge w:val="continue"/>
          </w:tcPr>
          <w:p w14:paraId="5F4D784E">
            <w:pPr>
              <w:spacing w:line="360" w:lineRule="auto"/>
              <w:rPr>
                <w:rFonts w:hint="eastAsia" w:ascii="宋体" w:hAnsi="宋体" w:eastAsia="宋体" w:cs="宋体"/>
                <w:sz w:val="21"/>
                <w:szCs w:val="21"/>
              </w:rPr>
            </w:pPr>
          </w:p>
        </w:tc>
      </w:tr>
      <w:tr w14:paraId="00D2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BF40A38">
            <w:pPr>
              <w:widowControl/>
              <w:jc w:val="right"/>
              <w:textAlignment w:val="center"/>
              <w:rPr>
                <w:rFonts w:hint="eastAsia" w:ascii="宋体" w:hAnsi="宋体" w:eastAsia="宋体" w:cs="宋体"/>
                <w:sz w:val="21"/>
                <w:szCs w:val="21"/>
                <w:highlight w:val="yellow"/>
              </w:rPr>
            </w:pPr>
          </w:p>
        </w:tc>
        <w:tc>
          <w:tcPr>
            <w:tcW w:w="0" w:type="auto"/>
            <w:vMerge w:val="continue"/>
            <w:vAlign w:val="center"/>
          </w:tcPr>
          <w:p w14:paraId="20C417BF">
            <w:pPr>
              <w:widowControl/>
              <w:jc w:val="left"/>
              <w:textAlignment w:val="center"/>
              <w:rPr>
                <w:rFonts w:hint="eastAsia" w:ascii="宋体" w:hAnsi="宋体" w:eastAsia="宋体" w:cs="宋体"/>
                <w:sz w:val="21"/>
                <w:szCs w:val="21"/>
                <w:highlight w:val="yellow"/>
              </w:rPr>
            </w:pPr>
          </w:p>
        </w:tc>
        <w:tc>
          <w:tcPr>
            <w:tcW w:w="0" w:type="auto"/>
            <w:vMerge w:val="continue"/>
            <w:vAlign w:val="center"/>
          </w:tcPr>
          <w:p w14:paraId="16B38DBE">
            <w:pPr>
              <w:widowControl/>
              <w:jc w:val="center"/>
              <w:rPr>
                <w:rFonts w:hint="eastAsia" w:ascii="宋体" w:hAnsi="宋体" w:eastAsia="宋体" w:cs="宋体"/>
                <w:color w:val="000000"/>
                <w:kern w:val="0"/>
                <w:sz w:val="21"/>
                <w:szCs w:val="21"/>
                <w:lang w:bidi="ar"/>
              </w:rPr>
            </w:pPr>
          </w:p>
        </w:tc>
        <w:tc>
          <w:tcPr>
            <w:tcW w:w="0" w:type="auto"/>
            <w:vAlign w:val="center"/>
          </w:tcPr>
          <w:p w14:paraId="7B3DFA12">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专用移位工具</w:t>
            </w:r>
          </w:p>
        </w:tc>
        <w:tc>
          <w:tcPr>
            <w:tcW w:w="0" w:type="auto"/>
            <w:vMerge w:val="continue"/>
          </w:tcPr>
          <w:p w14:paraId="46910F86">
            <w:pPr>
              <w:spacing w:line="360" w:lineRule="auto"/>
              <w:rPr>
                <w:rFonts w:hint="eastAsia" w:ascii="宋体" w:hAnsi="宋体" w:eastAsia="宋体" w:cs="宋体"/>
                <w:sz w:val="21"/>
                <w:szCs w:val="21"/>
              </w:rPr>
            </w:pPr>
          </w:p>
        </w:tc>
      </w:tr>
      <w:tr w14:paraId="3A33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CC81331">
            <w:pPr>
              <w:widowControl/>
              <w:jc w:val="right"/>
              <w:textAlignment w:val="center"/>
              <w:rPr>
                <w:rFonts w:hint="eastAsia" w:ascii="宋体" w:hAnsi="宋体" w:eastAsia="宋体" w:cs="宋体"/>
                <w:sz w:val="21"/>
                <w:szCs w:val="21"/>
                <w:highlight w:val="yellow"/>
              </w:rPr>
            </w:pPr>
          </w:p>
        </w:tc>
        <w:tc>
          <w:tcPr>
            <w:tcW w:w="0" w:type="auto"/>
            <w:vMerge w:val="continue"/>
            <w:vAlign w:val="center"/>
          </w:tcPr>
          <w:p w14:paraId="18BA7E06">
            <w:pPr>
              <w:widowControl/>
              <w:jc w:val="left"/>
              <w:textAlignment w:val="center"/>
              <w:rPr>
                <w:rFonts w:hint="eastAsia" w:ascii="宋体" w:hAnsi="宋体" w:eastAsia="宋体" w:cs="宋体"/>
                <w:sz w:val="21"/>
                <w:szCs w:val="21"/>
                <w:highlight w:val="yellow"/>
              </w:rPr>
            </w:pPr>
          </w:p>
        </w:tc>
        <w:tc>
          <w:tcPr>
            <w:tcW w:w="0" w:type="auto"/>
            <w:vAlign w:val="center"/>
          </w:tcPr>
          <w:p w14:paraId="02DC9535">
            <w:pPr>
              <w:widowControl/>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专业服务</w:t>
            </w:r>
          </w:p>
        </w:tc>
        <w:tc>
          <w:tcPr>
            <w:tcW w:w="0" w:type="auto"/>
            <w:vAlign w:val="center"/>
          </w:tcPr>
          <w:p w14:paraId="1C9A2266">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现场交付部署服务，完成机器人调测和部署，进行日常使用和保养培训，完成客户验收。</w:t>
            </w:r>
          </w:p>
        </w:tc>
        <w:tc>
          <w:tcPr>
            <w:tcW w:w="0" w:type="auto"/>
            <w:vMerge w:val="continue"/>
          </w:tcPr>
          <w:p w14:paraId="7CB8890C">
            <w:pPr>
              <w:spacing w:line="360" w:lineRule="auto"/>
              <w:rPr>
                <w:rFonts w:hint="eastAsia" w:ascii="宋体" w:hAnsi="宋体" w:eastAsia="宋体" w:cs="宋体"/>
                <w:sz w:val="21"/>
                <w:szCs w:val="21"/>
              </w:rPr>
            </w:pPr>
          </w:p>
        </w:tc>
      </w:tr>
      <w:tr w14:paraId="2E81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9FFB078">
            <w:pPr>
              <w:widowControl/>
              <w:jc w:val="right"/>
              <w:textAlignment w:val="center"/>
              <w:rPr>
                <w:rFonts w:hint="eastAsia" w:ascii="宋体" w:hAnsi="宋体" w:eastAsia="宋体" w:cs="宋体"/>
                <w:sz w:val="21"/>
                <w:szCs w:val="21"/>
                <w:highlight w:val="yellow"/>
              </w:rPr>
            </w:pPr>
          </w:p>
        </w:tc>
        <w:tc>
          <w:tcPr>
            <w:tcW w:w="0" w:type="auto"/>
            <w:vMerge w:val="continue"/>
            <w:vAlign w:val="center"/>
          </w:tcPr>
          <w:p w14:paraId="482548CB">
            <w:pPr>
              <w:widowControl/>
              <w:jc w:val="left"/>
              <w:textAlignment w:val="center"/>
              <w:rPr>
                <w:rFonts w:hint="eastAsia" w:ascii="宋体" w:hAnsi="宋体" w:eastAsia="宋体" w:cs="宋体"/>
                <w:sz w:val="21"/>
                <w:szCs w:val="21"/>
                <w:highlight w:val="yellow"/>
              </w:rPr>
            </w:pPr>
          </w:p>
        </w:tc>
        <w:tc>
          <w:tcPr>
            <w:tcW w:w="0" w:type="auto"/>
            <w:vAlign w:val="center"/>
          </w:tcPr>
          <w:p w14:paraId="3D7DBDCC">
            <w:pPr>
              <w:widowControl/>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技能软件</w:t>
            </w:r>
          </w:p>
        </w:tc>
        <w:tc>
          <w:tcPr>
            <w:tcW w:w="0" w:type="auto"/>
            <w:vAlign w:val="center"/>
          </w:tcPr>
          <w:p w14:paraId="3A3E9BFC">
            <w:pPr>
              <w:widowControl/>
              <w:numPr>
                <w:ilvl w:val="0"/>
                <w:numId w:val="1"/>
              </w:numPr>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展厅讲解工具链</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2. 定位建图</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3. 自主导航避障</w:t>
            </w:r>
          </w:p>
          <w:p w14:paraId="6A1E5F84">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 xml:space="preserve">4.配套软件平台：可数据连接管理可新建32种以上的数据库种类的连接，包括MYSQL、凤凰城、华为云DWS、HBase、甲骨文、teraData、SQLserver等 </w:t>
            </w:r>
            <w:r>
              <w:rPr>
                <w:rFonts w:hint="eastAsia" w:ascii="宋体" w:hAnsi="宋体" w:eastAsia="宋体" w:cs="宋体"/>
                <w:b/>
                <w:bCs/>
                <w:color w:val="000000"/>
                <w:kern w:val="0"/>
                <w:sz w:val="21"/>
                <w:szCs w:val="21"/>
                <w:lang w:bidi="ar"/>
              </w:rPr>
              <w:t>（需提供软件界面截图）</w:t>
            </w:r>
          </w:p>
        </w:tc>
        <w:tc>
          <w:tcPr>
            <w:tcW w:w="0" w:type="auto"/>
            <w:vMerge w:val="continue"/>
          </w:tcPr>
          <w:p w14:paraId="1A5D2228">
            <w:pPr>
              <w:spacing w:line="360" w:lineRule="auto"/>
              <w:rPr>
                <w:rFonts w:hint="eastAsia" w:ascii="宋体" w:hAnsi="宋体" w:eastAsia="宋体" w:cs="宋体"/>
                <w:sz w:val="21"/>
                <w:szCs w:val="21"/>
              </w:rPr>
            </w:pPr>
          </w:p>
        </w:tc>
      </w:tr>
      <w:tr w14:paraId="6A950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97EE2F5">
            <w:pPr>
              <w:widowControl/>
              <w:jc w:val="right"/>
              <w:textAlignment w:val="center"/>
              <w:rPr>
                <w:rFonts w:hint="eastAsia" w:ascii="宋体" w:hAnsi="宋体" w:eastAsia="宋体" w:cs="宋体"/>
                <w:sz w:val="21"/>
                <w:szCs w:val="21"/>
                <w:highlight w:val="yellow"/>
              </w:rPr>
            </w:pPr>
          </w:p>
        </w:tc>
        <w:tc>
          <w:tcPr>
            <w:tcW w:w="0" w:type="auto"/>
            <w:vMerge w:val="continue"/>
            <w:vAlign w:val="center"/>
          </w:tcPr>
          <w:p w14:paraId="0B69D4B2">
            <w:pPr>
              <w:widowControl/>
              <w:jc w:val="left"/>
              <w:textAlignment w:val="center"/>
              <w:rPr>
                <w:rFonts w:hint="eastAsia" w:ascii="宋体" w:hAnsi="宋体" w:eastAsia="宋体" w:cs="宋体"/>
                <w:sz w:val="21"/>
                <w:szCs w:val="21"/>
                <w:highlight w:val="yellow"/>
              </w:rPr>
            </w:pPr>
          </w:p>
        </w:tc>
        <w:tc>
          <w:tcPr>
            <w:tcW w:w="0" w:type="auto"/>
            <w:vAlign w:val="center"/>
          </w:tcPr>
          <w:p w14:paraId="485A8424">
            <w:pPr>
              <w:widowControl/>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保修期</w:t>
            </w:r>
          </w:p>
        </w:tc>
        <w:tc>
          <w:tcPr>
            <w:tcW w:w="0" w:type="auto"/>
            <w:vAlign w:val="center"/>
          </w:tcPr>
          <w:p w14:paraId="7490D63E">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一年</w:t>
            </w:r>
          </w:p>
        </w:tc>
        <w:tc>
          <w:tcPr>
            <w:tcW w:w="0" w:type="auto"/>
            <w:vMerge w:val="continue"/>
          </w:tcPr>
          <w:p w14:paraId="667CA84D">
            <w:pPr>
              <w:spacing w:line="360" w:lineRule="auto"/>
              <w:rPr>
                <w:rFonts w:hint="eastAsia" w:ascii="宋体" w:hAnsi="宋体" w:eastAsia="宋体" w:cs="宋体"/>
                <w:sz w:val="21"/>
                <w:szCs w:val="21"/>
              </w:rPr>
            </w:pPr>
          </w:p>
        </w:tc>
      </w:tr>
      <w:tr w14:paraId="32EC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C8A2CDD">
            <w:pPr>
              <w:widowControl/>
              <w:jc w:val="right"/>
              <w:textAlignment w:val="center"/>
              <w:rPr>
                <w:rFonts w:hint="eastAsia" w:ascii="宋体" w:hAnsi="宋体" w:eastAsia="宋体" w:cs="宋体"/>
                <w:sz w:val="21"/>
                <w:szCs w:val="21"/>
              </w:rPr>
            </w:pPr>
          </w:p>
        </w:tc>
        <w:tc>
          <w:tcPr>
            <w:tcW w:w="0" w:type="auto"/>
            <w:vMerge w:val="continue"/>
            <w:vAlign w:val="center"/>
          </w:tcPr>
          <w:p w14:paraId="449191CA">
            <w:pPr>
              <w:widowControl/>
              <w:jc w:val="left"/>
              <w:textAlignment w:val="center"/>
              <w:rPr>
                <w:rFonts w:hint="eastAsia" w:ascii="宋体" w:hAnsi="宋体" w:eastAsia="宋体" w:cs="宋体"/>
                <w:sz w:val="21"/>
                <w:szCs w:val="21"/>
              </w:rPr>
            </w:pPr>
          </w:p>
        </w:tc>
        <w:tc>
          <w:tcPr>
            <w:tcW w:w="0" w:type="auto"/>
            <w:vAlign w:val="center"/>
          </w:tcPr>
          <w:p w14:paraId="430F7767">
            <w:pPr>
              <w:widowControl/>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配套软件</w:t>
            </w:r>
          </w:p>
        </w:tc>
        <w:tc>
          <w:tcPr>
            <w:tcW w:w="0" w:type="auto"/>
            <w:vAlign w:val="center"/>
          </w:tcPr>
          <w:p w14:paraId="306E9361">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配套商务大数据分析与应用平台软件，平台需具备七大行业大数据分析资源包含零售行业、医药行业、互联网行业、地产行业、银行金融、通信行业、化工与金属行业的可视化图形报告，用于教师对学生进行案例讲解，方便学生掌握不同行业数据分析之间的差异性、分析方法等知识。</w:t>
            </w:r>
          </w:p>
          <w:p w14:paraId="342EC5F3">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平台需提供60种以上的大数据分析模型包含垂直折线图、组合对比图、漏斗图、热力图、流向地图、对比柱状图、玫瑰图等，用于学生掌握大数据分析的基础性模型的专业知识，可以使学生对于大数据分析的多维度应用。</w:t>
            </w:r>
          </w:p>
          <w:p w14:paraId="3DA831EB">
            <w:pPr>
              <w:widowControl/>
              <w:jc w:val="left"/>
              <w:rPr>
                <w:rFonts w:hint="eastAsia" w:ascii="宋体" w:hAnsi="宋体" w:eastAsia="宋体" w:cs="宋体"/>
                <w:color w:val="000000"/>
                <w:kern w:val="0"/>
                <w:sz w:val="21"/>
                <w:szCs w:val="21"/>
                <w:lang w:bidi="ar"/>
              </w:rPr>
            </w:pPr>
          </w:p>
        </w:tc>
        <w:tc>
          <w:tcPr>
            <w:tcW w:w="0" w:type="auto"/>
            <w:vMerge w:val="continue"/>
          </w:tcPr>
          <w:p w14:paraId="1B0AE8A8">
            <w:pPr>
              <w:spacing w:line="360" w:lineRule="auto"/>
              <w:rPr>
                <w:rFonts w:hint="eastAsia" w:ascii="宋体" w:hAnsi="宋体" w:eastAsia="宋体" w:cs="宋体"/>
                <w:sz w:val="21"/>
                <w:szCs w:val="21"/>
              </w:rPr>
            </w:pPr>
          </w:p>
        </w:tc>
      </w:tr>
      <w:tr w14:paraId="556B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1C5A0A9">
            <w:pPr>
              <w:widowControl/>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w:t>
            </w:r>
          </w:p>
        </w:tc>
        <w:tc>
          <w:tcPr>
            <w:tcW w:w="0" w:type="auto"/>
          </w:tcPr>
          <w:p w14:paraId="02E46512">
            <w:pPr>
              <w:widowControl/>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对抗比赛机器人</w:t>
            </w:r>
          </w:p>
        </w:tc>
        <w:tc>
          <w:tcPr>
            <w:tcW w:w="0" w:type="auto"/>
            <w:gridSpan w:val="2"/>
          </w:tcPr>
          <w:p w14:paraId="4BFFF43A">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一、金属积木机器人专业套装2套，以下参数为1套</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1、控制器：时钟频率 240Mhz，1M flash，224K RAM，可存储 6 条程序；0.96英寸彩色显示屏；3个按键；提供 6 路 RJ11 传感器接口，提供 2 路智能舵机接口，提供 6 路编码电机驱动口， 提供3路 AI扩展与7路PWM扩展口；两种工作模式，一种 U 盘下载模式，另一种在线运行模式；内置蓝牙、蜂鸣器。</w:t>
            </w:r>
          </w:p>
          <w:p w14:paraId="620C9E8B">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2、传感器：集成五灰度（其工作电压 5V，5 路灰度传感器， 可实现巡线等功能） 1 个， 四合一按键开关（工作电压 5V，可单击使用，也可组合使用）1个，陀螺仪（工作电压 5V， 三轴加速度，三轴陀螺仪）1个。</w:t>
            </w:r>
          </w:p>
          <w:p w14:paraId="1F6DB7F4">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3、执行器：25GA 塑壳闭环电机（工作电压 4V-16V，空载转速：9V /400±10 rpm， 负载力矩 1kg*cm，具有过电流保护功能）5 个；</w:t>
            </w:r>
          </w:p>
          <w:p w14:paraId="421C9AF8">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360 闭环电机（工作电压 4V-16V， 空载转速：9V /400±10rpm， 负载力矩 2kg*cm，具有过电流保护功能）1个；</w:t>
            </w:r>
          </w:p>
          <w:p w14:paraId="410B72B9">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智能舵机（最大扭矩 20kgf.cm，串行总线控制方式， 可与梁、销、轴等快速搭建） 1 个；</w:t>
            </w:r>
          </w:p>
          <w:p w14:paraId="2F085DA3">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4、结构件： 使用高强度 3mm 铝板冲压成型，CNC 精密加工。 铝合金材质，阳极氧化着色。金属结构件设计比例基于标准的10 毫米。结构件数量不少于 650 个,其中金属结构件不少于 80 个， 塑料结构件不少于170 个， 螺丝不少于380 个。</w:t>
            </w:r>
          </w:p>
          <w:p w14:paraId="07E48DE2">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5、能源： 专用锂电池 1 个， 11.1v2200mAh， 最大放电电流为 6.5A， 自带保护电路。2S/3S 平衡充（B5）一个。</w:t>
            </w:r>
          </w:p>
          <w:p w14:paraId="096D75CB">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6、软件：支持模块编程、标准 C 语言编程、Python 编程等编程方式。基于全新QT平台开发，可适用于 Windows 操作系统，同时可以多线程编程。模块可自动生成 C 语言，C 语言支持指针、数组、结构体等复杂应用。库函  数全开放。Python 是一款被广泛应用于 AI、数据分析等前  沿领域的编程语言，已取代 VB 成为信息技术教育和等级考  试的新标准。在 WOBOT 软件中，孩子可以直接使用 Python   语言编写程序， 也可以将编写好的模块程序一键切换为</w:t>
            </w:r>
          </w:p>
          <w:p w14:paraId="408AD31C">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Python 代码，进阶学习专业编程。</w:t>
            </w:r>
          </w:p>
          <w:p w14:paraId="7B38202A">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二、金属积木机器人竞赛基础套装2套，以下参数为1套</w:t>
            </w:r>
          </w:p>
          <w:p w14:paraId="14D479B1">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1、控制器：芯片为32位处理器，控制器为集成式控制器， 0.96 英寸彩色显示屏，内置执行器有：3 路指示灯、1个蜂鸣器。内置传感器有：光敏传感器、红外接收发射模块、超声传感器、麦克风、集成五灰度传感器。内置 4.2v，2000mAh 锂电池，内置蓝牙。控制器上有3个按键，控制开关机、运行程序、查看传感器、操控执行器。控制器上有 2 路闭环电机接口、4 路输入输出接口、2 路数字舵机接口。</w:t>
            </w:r>
          </w:p>
          <w:p w14:paraId="49BA21DE">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2、遥控手柄（蓝牙版）1个： 2个4方向遥杆， 1个开关机键，1个蓝牙配对键，5个功能按键。</w:t>
            </w:r>
          </w:p>
          <w:p w14:paraId="2352FE21">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3、外置执行器：2 个闭环电机（工作电压 5V，空载转速 210 ±10 rpm）。</w:t>
            </w:r>
          </w:p>
          <w:p w14:paraId="108E07C3">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4、外置传感器： 集成五灰度传感器（其工作电压 5V，5 路灰度传感器，可实现巡线等功能）1个：超声传感器（其工作电压 5V）1个。</w:t>
            </w:r>
          </w:p>
          <w:p w14:paraId="68734630">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5、结构件：使用高强度 3mm 铝板冲压成型，CNC 精密加工。铝合金材质，阳极氧化着色。金属结构件设计比例基于标准的 10 毫米。一体化金属移动底盘。结构件数量不少于 40 个, 其中金属结构件不少于 10 个，塑料结构件不少于 10 个，螺丝不少于 20 个。</w:t>
            </w:r>
          </w:p>
          <w:p w14:paraId="038F5685">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三、“弹无虚发”专业赛场地套装一套</w:t>
            </w:r>
          </w:p>
          <w:p w14:paraId="219E533D">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1、该套装包含活动场地道具一套。可搭建 32cm 平台2个，15cm 平台2个，50cm平台 1个。沙包30个。固定场地任务模型专用布基胶带。</w:t>
            </w:r>
          </w:p>
          <w:p w14:paraId="37CF67B6">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2、包含活动专用场地纸 1 张（尺寸4米*3.6米）</w:t>
            </w:r>
          </w:p>
          <w:p w14:paraId="1C024613">
            <w:pPr>
              <w:widowControl/>
              <w:jc w:val="left"/>
              <w:rPr>
                <w:rFonts w:hint="eastAsia" w:ascii="宋体" w:hAnsi="宋体" w:eastAsia="宋体" w:cs="宋体"/>
                <w:color w:val="000000"/>
                <w:kern w:val="0"/>
                <w:sz w:val="21"/>
                <w:szCs w:val="21"/>
                <w:lang w:bidi="ar"/>
              </w:rPr>
            </w:pPr>
          </w:p>
          <w:p w14:paraId="7D28D180">
            <w:pPr>
              <w:widowControl/>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以上对抗比赛机器人保修期均为一年。</w:t>
            </w:r>
          </w:p>
        </w:tc>
        <w:tc>
          <w:tcPr>
            <w:tcW w:w="0" w:type="auto"/>
          </w:tcPr>
          <w:p w14:paraId="60A02B88">
            <w:pPr>
              <w:spacing w:line="360" w:lineRule="auto"/>
              <w:rPr>
                <w:rFonts w:hint="eastAsia" w:ascii="宋体" w:hAnsi="宋体" w:eastAsia="宋体" w:cs="宋体"/>
                <w:sz w:val="21"/>
                <w:szCs w:val="21"/>
              </w:rPr>
            </w:pPr>
          </w:p>
        </w:tc>
      </w:tr>
    </w:tbl>
    <w:p w14:paraId="78EBBCE9">
      <w:pPr>
        <w:pStyle w:val="2"/>
        <w:spacing w:before="78" w:line="360" w:lineRule="auto"/>
        <w:ind w:left="22" w:right="99" w:firstLine="480"/>
        <w:jc w:val="both"/>
        <w:rPr>
          <w:rFonts w:hint="eastAsia" w:ascii="宋体" w:hAnsi="宋体" w:eastAsia="宋体" w:cs="宋体"/>
          <w:sz w:val="21"/>
          <w:szCs w:val="21"/>
        </w:rPr>
      </w:pPr>
    </w:p>
    <w:p w14:paraId="2162986B">
      <w:pPr>
        <w:pStyle w:val="2"/>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具体项目内容、采购要求，以竞争性磋商文件相应规定为准。</w:t>
      </w:r>
      <w:r>
        <w:rPr>
          <w:rFonts w:hint="eastAsia" w:ascii="宋体" w:hAnsi="宋体" w:eastAsia="宋体" w:cs="宋体"/>
          <w:spacing w:val="-1"/>
          <w:sz w:val="21"/>
          <w:szCs w:val="21"/>
          <w:lang w:eastAsia="zh-CN"/>
        </w:rPr>
        <w:t>）</w:t>
      </w:r>
    </w:p>
    <w:p w14:paraId="7965B545">
      <w:pPr>
        <w:pStyle w:val="2"/>
        <w:spacing w:before="183" w:line="360" w:lineRule="auto"/>
        <w:rPr>
          <w:rFonts w:hint="eastAsia" w:ascii="宋体" w:hAnsi="宋体" w:eastAsia="宋体" w:cs="宋体"/>
          <w:sz w:val="21"/>
          <w:szCs w:val="21"/>
        </w:rPr>
      </w:pPr>
      <w:r>
        <w:rPr>
          <w:rFonts w:hint="eastAsia" w:ascii="宋体" w:hAnsi="宋体" w:eastAsia="宋体" w:cs="宋体"/>
          <w:b/>
          <w:bCs/>
          <w:spacing w:val="-3"/>
          <w:sz w:val="21"/>
          <w:szCs w:val="21"/>
        </w:rPr>
        <w:t>二、合格的供应商必须具备以下条件：</w:t>
      </w:r>
    </w:p>
    <w:p w14:paraId="2F3BB3FE">
      <w:pPr>
        <w:pStyle w:val="2"/>
        <w:keepNext w:val="0"/>
        <w:keepLines w:val="0"/>
        <w:pageBreakBefore w:val="0"/>
        <w:widowControl/>
        <w:kinsoku w:val="0"/>
        <w:wordWrap/>
        <w:overflowPunct/>
        <w:topLinePunct w:val="0"/>
        <w:autoSpaceDE w:val="0"/>
        <w:autoSpaceDN w:val="0"/>
        <w:bidi w:val="0"/>
        <w:adjustRightInd w:val="0"/>
        <w:snapToGrid w:val="0"/>
        <w:spacing w:before="183" w:line="360" w:lineRule="auto"/>
        <w:ind w:firstLine="416" w:firstLineChars="200"/>
        <w:textAlignment w:val="baseline"/>
        <w:rPr>
          <w:rFonts w:hint="eastAsia" w:ascii="宋体" w:hAnsi="宋体" w:eastAsia="宋体" w:cs="宋体"/>
          <w:sz w:val="21"/>
          <w:szCs w:val="21"/>
        </w:rPr>
      </w:pPr>
      <w:r>
        <w:rPr>
          <w:rFonts w:hint="eastAsia" w:ascii="宋体" w:hAnsi="宋体" w:eastAsia="宋体" w:cs="宋体"/>
          <w:spacing w:val="-1"/>
          <w:sz w:val="21"/>
          <w:szCs w:val="21"/>
        </w:rPr>
        <w:t>1.符合《中华人民共和国政府采购法》第二十二条规定的供应商。</w:t>
      </w:r>
    </w:p>
    <w:p w14:paraId="2D3EB459">
      <w:pPr>
        <w:pStyle w:val="2"/>
        <w:keepNext w:val="0"/>
        <w:keepLines w:val="0"/>
        <w:pageBreakBefore w:val="0"/>
        <w:widowControl/>
        <w:kinsoku w:val="0"/>
        <w:wordWrap/>
        <w:overflowPunct/>
        <w:topLinePunct w:val="0"/>
        <w:autoSpaceDE w:val="0"/>
        <w:autoSpaceDN w:val="0"/>
        <w:bidi w:val="0"/>
        <w:adjustRightInd w:val="0"/>
        <w:snapToGrid w:val="0"/>
        <w:spacing w:before="183" w:line="360" w:lineRule="auto"/>
        <w:ind w:firstLine="416" w:firstLineChars="200"/>
        <w:textAlignment w:val="baseline"/>
        <w:rPr>
          <w:rFonts w:hint="eastAsia" w:ascii="宋体" w:hAnsi="宋体" w:eastAsia="宋体" w:cs="宋体"/>
          <w:sz w:val="21"/>
          <w:szCs w:val="21"/>
        </w:rPr>
      </w:pPr>
      <w:r>
        <w:rPr>
          <w:rFonts w:hint="eastAsia" w:ascii="宋体" w:hAnsi="宋体" w:eastAsia="宋体" w:cs="宋体"/>
          <w:spacing w:val="-1"/>
          <w:sz w:val="21"/>
          <w:szCs w:val="21"/>
        </w:rPr>
        <w:t>2.合格供应商必须提供下列资料（未提供的将被视作未实质性响应</w:t>
      </w:r>
      <w:r>
        <w:rPr>
          <w:rFonts w:hint="eastAsia" w:ascii="宋体" w:hAnsi="宋体" w:eastAsia="宋体" w:cs="宋体"/>
          <w:spacing w:val="-60"/>
          <w:sz w:val="21"/>
          <w:szCs w:val="21"/>
        </w:rPr>
        <w:t>）：</w:t>
      </w:r>
    </w:p>
    <w:p w14:paraId="137D2A4F">
      <w:pPr>
        <w:pStyle w:val="2"/>
        <w:keepNext w:val="0"/>
        <w:keepLines w:val="0"/>
        <w:pageBreakBefore w:val="0"/>
        <w:widowControl/>
        <w:kinsoku w:val="0"/>
        <w:wordWrap/>
        <w:overflowPunct/>
        <w:topLinePunct w:val="0"/>
        <w:autoSpaceDE w:val="0"/>
        <w:autoSpaceDN w:val="0"/>
        <w:bidi w:val="0"/>
        <w:adjustRightInd w:val="0"/>
        <w:snapToGrid w:val="0"/>
        <w:spacing w:before="184" w:line="360" w:lineRule="auto"/>
        <w:ind w:right="1058" w:firstLine="400" w:firstLineChars="200"/>
        <w:textAlignment w:val="baseline"/>
        <w:rPr>
          <w:rFonts w:hint="eastAsia" w:ascii="宋体" w:hAnsi="宋体" w:eastAsia="宋体" w:cs="宋体"/>
          <w:sz w:val="21"/>
          <w:szCs w:val="21"/>
        </w:rPr>
      </w:pPr>
      <w:r>
        <w:rPr>
          <w:rFonts w:hint="eastAsia" w:ascii="宋体" w:hAnsi="宋体" w:eastAsia="宋体" w:cs="宋体"/>
          <w:spacing w:val="-5"/>
          <w:sz w:val="21"/>
          <w:szCs w:val="21"/>
        </w:rPr>
        <w:t>（1）组织机构证明：企业营业执照（具有相应的</w:t>
      </w:r>
      <w:r>
        <w:rPr>
          <w:rFonts w:hint="eastAsia" w:ascii="宋体" w:hAnsi="宋体" w:eastAsia="宋体" w:cs="宋体"/>
          <w:spacing w:val="-6"/>
          <w:sz w:val="21"/>
          <w:szCs w:val="21"/>
        </w:rPr>
        <w:t>经营范围）、税务登记证、</w:t>
      </w:r>
      <w:r>
        <w:rPr>
          <w:rFonts w:hint="eastAsia" w:ascii="宋体" w:hAnsi="宋体" w:eastAsia="宋体" w:cs="宋体"/>
          <w:spacing w:val="-3"/>
          <w:sz w:val="21"/>
          <w:szCs w:val="21"/>
        </w:rPr>
        <w:t>组织机构代码证（如已经办理三证合一的投标人，则只需提供合并后的企业营业</w:t>
      </w:r>
      <w:r>
        <w:rPr>
          <w:rFonts w:hint="eastAsia" w:ascii="宋体" w:hAnsi="宋体" w:eastAsia="宋体" w:cs="宋体"/>
          <w:spacing w:val="-25"/>
          <w:sz w:val="21"/>
          <w:szCs w:val="21"/>
        </w:rPr>
        <w:t>执照）。</w:t>
      </w:r>
    </w:p>
    <w:p w14:paraId="6E9DBC92">
      <w:pPr>
        <w:pStyle w:val="2"/>
        <w:keepNext w:val="0"/>
        <w:keepLines w:val="0"/>
        <w:pageBreakBefore w:val="0"/>
        <w:widowControl/>
        <w:kinsoku w:val="0"/>
        <w:wordWrap/>
        <w:overflowPunct/>
        <w:topLinePunct w:val="0"/>
        <w:autoSpaceDE w:val="0"/>
        <w:autoSpaceDN w:val="0"/>
        <w:bidi w:val="0"/>
        <w:adjustRightInd w:val="0"/>
        <w:snapToGrid w:val="0"/>
        <w:spacing w:before="186" w:line="360" w:lineRule="auto"/>
        <w:ind w:right="1112"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（2）商业信誉：未被列入失信被执行人、重大税收违法案件当事人、政府</w:t>
      </w:r>
      <w:r>
        <w:rPr>
          <w:rFonts w:hint="eastAsia" w:ascii="宋体" w:hAnsi="宋体" w:eastAsia="宋体" w:cs="宋体"/>
          <w:spacing w:val="-11"/>
          <w:sz w:val="21"/>
          <w:szCs w:val="21"/>
        </w:rPr>
        <w:t>采 购 严 重 违 法 失</w:t>
      </w:r>
      <w:r>
        <w:rPr>
          <w:rFonts w:hint="eastAsia" w:ascii="宋体" w:hAnsi="宋体" w:eastAsia="宋体" w:cs="宋体"/>
          <w:spacing w:val="-14"/>
          <w:sz w:val="21"/>
          <w:szCs w:val="21"/>
        </w:rPr>
        <w:t xml:space="preserve"> </w:t>
      </w:r>
      <w:r>
        <w:rPr>
          <w:rFonts w:hint="eastAsia" w:ascii="宋体" w:hAnsi="宋体" w:eastAsia="宋体" w:cs="宋体"/>
          <w:spacing w:val="-11"/>
          <w:sz w:val="21"/>
          <w:szCs w:val="21"/>
        </w:rPr>
        <w:t>信 行</w:t>
      </w:r>
      <w:r>
        <w:rPr>
          <w:rFonts w:hint="eastAsia" w:ascii="宋体" w:hAnsi="宋体" w:eastAsia="宋体" w:cs="宋体"/>
          <w:spacing w:val="-12"/>
          <w:sz w:val="21"/>
          <w:szCs w:val="21"/>
        </w:rPr>
        <w:t xml:space="preserve"> </w:t>
      </w:r>
      <w:r>
        <w:rPr>
          <w:rFonts w:hint="eastAsia" w:ascii="宋体" w:hAnsi="宋体" w:eastAsia="宋体" w:cs="宋体"/>
          <w:spacing w:val="-11"/>
          <w:sz w:val="21"/>
          <w:szCs w:val="21"/>
        </w:rPr>
        <w:t>为</w:t>
      </w:r>
      <w:r>
        <w:rPr>
          <w:rFonts w:hint="eastAsia" w:ascii="宋体" w:hAnsi="宋体" w:eastAsia="宋体" w:cs="宋体"/>
          <w:spacing w:val="-16"/>
          <w:sz w:val="21"/>
          <w:szCs w:val="21"/>
        </w:rPr>
        <w:t xml:space="preserve"> </w:t>
      </w:r>
      <w:r>
        <w:rPr>
          <w:rFonts w:hint="eastAsia" w:ascii="宋体" w:hAnsi="宋体" w:eastAsia="宋体" w:cs="宋体"/>
          <w:spacing w:val="-11"/>
          <w:sz w:val="21"/>
          <w:szCs w:val="21"/>
        </w:rPr>
        <w:t>记</w:t>
      </w:r>
      <w:r>
        <w:rPr>
          <w:rFonts w:hint="eastAsia" w:ascii="宋体" w:hAnsi="宋体" w:eastAsia="宋体" w:cs="宋体"/>
          <w:spacing w:val="-13"/>
          <w:sz w:val="21"/>
          <w:szCs w:val="21"/>
        </w:rPr>
        <w:t xml:space="preserve"> </w:t>
      </w:r>
      <w:r>
        <w:rPr>
          <w:rFonts w:hint="eastAsia" w:ascii="宋体" w:hAnsi="宋体" w:eastAsia="宋体" w:cs="宋体"/>
          <w:spacing w:val="-11"/>
          <w:sz w:val="21"/>
          <w:szCs w:val="21"/>
        </w:rPr>
        <w:t>录</w:t>
      </w:r>
      <w:r>
        <w:rPr>
          <w:rFonts w:hint="eastAsia" w:ascii="宋体" w:hAnsi="宋体" w:eastAsia="宋体" w:cs="宋体"/>
          <w:spacing w:val="-12"/>
          <w:sz w:val="21"/>
          <w:szCs w:val="21"/>
        </w:rPr>
        <w:t xml:space="preserve"> </w:t>
      </w:r>
      <w:r>
        <w:rPr>
          <w:rFonts w:hint="eastAsia" w:ascii="宋体" w:hAnsi="宋体" w:eastAsia="宋体" w:cs="宋体"/>
          <w:spacing w:val="-11"/>
          <w:sz w:val="21"/>
          <w:szCs w:val="21"/>
        </w:rPr>
        <w:t>名</w:t>
      </w:r>
      <w:r>
        <w:rPr>
          <w:rFonts w:hint="eastAsia" w:ascii="宋体" w:hAnsi="宋体" w:eastAsia="宋体" w:cs="宋体"/>
          <w:spacing w:val="-13"/>
          <w:sz w:val="21"/>
          <w:szCs w:val="21"/>
        </w:rPr>
        <w:t xml:space="preserve"> </w:t>
      </w:r>
      <w:r>
        <w:rPr>
          <w:rFonts w:hint="eastAsia" w:ascii="宋体" w:hAnsi="宋体" w:eastAsia="宋体" w:cs="宋体"/>
          <w:spacing w:val="-11"/>
          <w:sz w:val="21"/>
          <w:szCs w:val="21"/>
        </w:rPr>
        <w:t>单 ， 以 在</w:t>
      </w:r>
      <w:r>
        <w:rPr>
          <w:rFonts w:hint="eastAsia" w:ascii="宋体" w:hAnsi="宋体" w:eastAsia="宋体" w:cs="宋体"/>
          <w:spacing w:val="-26"/>
          <w:sz w:val="21"/>
          <w:szCs w:val="21"/>
        </w:rPr>
        <w:t xml:space="preserve"> </w:t>
      </w:r>
      <w:r>
        <w:rPr>
          <w:rFonts w:hint="eastAsia" w:ascii="宋体" w:hAnsi="宋体" w:eastAsia="宋体" w:cs="宋体"/>
          <w:spacing w:val="-11"/>
          <w:sz w:val="21"/>
          <w:szCs w:val="21"/>
        </w:rPr>
        <w:t>“ 信 用 中 国 ”</w:t>
      </w:r>
      <w:r>
        <w:rPr>
          <w:rFonts w:hint="eastAsia" w:ascii="宋体" w:hAnsi="宋体" w:eastAsia="宋体" w:cs="宋体"/>
          <w:spacing w:val="-28"/>
          <w:sz w:val="21"/>
          <w:szCs w:val="21"/>
        </w:rPr>
        <w:t xml:space="preserve"> </w:t>
      </w:r>
      <w:r>
        <w:rPr>
          <w:rFonts w:hint="eastAsia" w:ascii="宋体" w:hAnsi="宋体" w:eastAsia="宋体" w:cs="宋体"/>
          <w:spacing w:val="-11"/>
          <w:sz w:val="21"/>
          <w:szCs w:val="21"/>
        </w:rPr>
        <w:t>网 站</w:t>
      </w:r>
      <w:r>
        <w:rPr>
          <w:rFonts w:hint="eastAsia" w:ascii="宋体" w:hAnsi="宋体" w:eastAsia="宋体" w:cs="宋体"/>
          <w:sz w:val="21"/>
          <w:szCs w:val="21"/>
        </w:rPr>
        <w:t>（</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"https://www.creditchina.gov.cn" </w:instrText>
      </w:r>
      <w:r>
        <w:rPr>
          <w:rFonts w:hint="eastAsia" w:ascii="宋体" w:hAnsi="宋体" w:eastAsia="宋体" w:cs="宋体"/>
          <w:sz w:val="21"/>
          <w:szCs w:val="21"/>
        </w:rPr>
        <w:fldChar w:fldCharType="separate"/>
      </w:r>
      <w:r>
        <w:rPr>
          <w:rFonts w:hint="eastAsia" w:ascii="宋体" w:hAnsi="宋体" w:eastAsia="宋体" w:cs="宋体"/>
          <w:sz w:val="21"/>
          <w:szCs w:val="21"/>
        </w:rPr>
        <w:t>www.creditchina.gov.cn</w:t>
      </w:r>
      <w:r>
        <w:rPr>
          <w:rFonts w:hint="eastAsia" w:ascii="宋体" w:hAnsi="宋体" w:eastAsia="宋体" w:cs="宋体"/>
          <w:sz w:val="21"/>
          <w:szCs w:val="21"/>
        </w:rPr>
        <w:fldChar w:fldCharType="end"/>
      </w:r>
      <w:r>
        <w:rPr>
          <w:rFonts w:hint="eastAsia" w:ascii="宋体" w:hAnsi="宋体" w:eastAsia="宋体" w:cs="宋体"/>
          <w:sz w:val="21"/>
          <w:szCs w:val="21"/>
        </w:rPr>
        <w:t>）和中国政府采购网（</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"https://www.ccgp.gov.cn" </w:instrText>
      </w:r>
      <w:r>
        <w:rPr>
          <w:rFonts w:hint="eastAsia" w:ascii="宋体" w:hAnsi="宋体" w:eastAsia="宋体" w:cs="宋体"/>
          <w:sz w:val="21"/>
          <w:szCs w:val="21"/>
        </w:rPr>
        <w:fldChar w:fldCharType="separate"/>
      </w:r>
      <w:r>
        <w:rPr>
          <w:rFonts w:hint="eastAsia" w:ascii="宋体" w:hAnsi="宋体" w:eastAsia="宋体" w:cs="宋体"/>
          <w:sz w:val="21"/>
          <w:szCs w:val="21"/>
        </w:rPr>
        <w:t>www.ccgp.gov.cn</w:t>
      </w:r>
      <w:r>
        <w:rPr>
          <w:rFonts w:hint="eastAsia" w:ascii="宋体" w:hAnsi="宋体" w:eastAsia="宋体" w:cs="宋体"/>
          <w:sz w:val="21"/>
          <w:szCs w:val="21"/>
        </w:rPr>
        <w:fldChar w:fldCharType="end"/>
      </w:r>
      <w:r>
        <w:rPr>
          <w:rFonts w:hint="eastAsia" w:ascii="宋体" w:hAnsi="宋体" w:eastAsia="宋体" w:cs="宋体"/>
          <w:sz w:val="21"/>
          <w:szCs w:val="21"/>
        </w:rPr>
        <w:t>）查询供应</w:t>
      </w:r>
      <w:r>
        <w:rPr>
          <w:rFonts w:hint="eastAsia" w:ascii="宋体" w:hAnsi="宋体" w:eastAsia="宋体" w:cs="宋体"/>
          <w:spacing w:val="-3"/>
          <w:sz w:val="21"/>
          <w:szCs w:val="21"/>
        </w:rPr>
        <w:t>商信用记录的系统截图为准。凡被列入失信被执行人、税收违法黑名单、政府采购严重违法失信行为记录名单及其他不符合《中华人民共和国政府采购法》第二</w:t>
      </w:r>
      <w:r>
        <w:rPr>
          <w:rFonts w:hint="eastAsia" w:ascii="宋体" w:hAnsi="宋体" w:eastAsia="宋体" w:cs="宋体"/>
          <w:spacing w:val="-1"/>
          <w:sz w:val="21"/>
          <w:szCs w:val="21"/>
        </w:rPr>
        <w:t>十二条规定条件的供应商，应当拒绝其参与政府采购活动。</w:t>
      </w:r>
    </w:p>
    <w:p w14:paraId="4E5877A9">
      <w:pPr>
        <w:pStyle w:val="2"/>
        <w:keepNext w:val="0"/>
        <w:keepLines w:val="0"/>
        <w:pageBreakBefore w:val="0"/>
        <w:widowControl/>
        <w:kinsoku w:val="0"/>
        <w:wordWrap/>
        <w:overflowPunct/>
        <w:topLinePunct w:val="0"/>
        <w:autoSpaceDE w:val="0"/>
        <w:autoSpaceDN w:val="0"/>
        <w:bidi w:val="0"/>
        <w:adjustRightInd w:val="0"/>
        <w:snapToGrid w:val="0"/>
        <w:spacing w:before="184" w:line="360" w:lineRule="auto"/>
        <w:ind w:right="1114"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（3）单位负责人为同一人或者存在直接控股、管理关系的不同供应商，不</w:t>
      </w:r>
      <w:r>
        <w:rPr>
          <w:rFonts w:hint="eastAsia" w:ascii="宋体" w:hAnsi="宋体" w:eastAsia="宋体" w:cs="宋体"/>
          <w:spacing w:val="-1"/>
          <w:sz w:val="21"/>
          <w:szCs w:val="21"/>
        </w:rPr>
        <w:t>得参加同一合同项下的采购活动。</w:t>
      </w:r>
    </w:p>
    <w:p w14:paraId="61CBE1D9">
      <w:pPr>
        <w:pStyle w:val="2"/>
        <w:keepNext w:val="0"/>
        <w:keepLines w:val="0"/>
        <w:pageBreakBefore w:val="0"/>
        <w:widowControl/>
        <w:kinsoku w:val="0"/>
        <w:wordWrap/>
        <w:overflowPunct/>
        <w:topLinePunct w:val="0"/>
        <w:autoSpaceDE w:val="0"/>
        <w:autoSpaceDN w:val="0"/>
        <w:bidi w:val="0"/>
        <w:adjustRightInd w:val="0"/>
        <w:snapToGrid w:val="0"/>
        <w:spacing w:before="183" w:line="360" w:lineRule="auto"/>
        <w:ind w:right="1112"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（4）履行合同能力：具有同类项目的经验，并具备履行合同所必需的主要</w:t>
      </w:r>
      <w:r>
        <w:rPr>
          <w:rFonts w:hint="eastAsia" w:ascii="宋体" w:hAnsi="宋体" w:eastAsia="宋体" w:cs="宋体"/>
          <w:spacing w:val="-1"/>
          <w:sz w:val="21"/>
          <w:szCs w:val="21"/>
        </w:rPr>
        <w:t>设备设施、专业技术人员和能力。</w:t>
      </w:r>
    </w:p>
    <w:p w14:paraId="20F3AE46">
      <w:pPr>
        <w:pStyle w:val="2"/>
        <w:spacing w:before="122" w:line="360" w:lineRule="auto"/>
        <w:ind w:firstLine="412" w:firstLineChars="200"/>
        <w:rPr>
          <w:rFonts w:hint="eastAsia" w:ascii="宋体" w:hAnsi="宋体" w:eastAsia="宋体" w:cs="宋体"/>
          <w:sz w:val="21"/>
          <w:szCs w:val="21"/>
        </w:rPr>
      </w:pPr>
      <w:r>
        <w:rPr>
          <w:rFonts w:hint="eastAsia" w:ascii="宋体" w:hAnsi="宋体" w:eastAsia="宋体" w:cs="宋体"/>
          <w:spacing w:val="-2"/>
          <w:sz w:val="21"/>
          <w:szCs w:val="21"/>
        </w:rPr>
        <w:t>（5）本项目不接受联合体报名。</w:t>
      </w:r>
    </w:p>
    <w:p w14:paraId="1A7CF9E9">
      <w:pPr>
        <w:pStyle w:val="2"/>
        <w:spacing w:before="184" w:line="360" w:lineRule="auto"/>
        <w:ind w:left="503"/>
        <w:rPr>
          <w:rFonts w:hint="eastAsia" w:ascii="宋体" w:hAnsi="宋体" w:eastAsia="宋体" w:cs="宋体"/>
          <w:sz w:val="21"/>
          <w:szCs w:val="21"/>
        </w:rPr>
      </w:pPr>
      <w:r>
        <w:rPr>
          <w:rFonts w:hint="eastAsia" w:ascii="宋体" w:hAnsi="宋体" w:eastAsia="宋体" w:cs="宋体"/>
          <w:b/>
          <w:bCs/>
          <w:spacing w:val="-3"/>
          <w:sz w:val="21"/>
          <w:szCs w:val="21"/>
        </w:rPr>
        <w:t>三、磋商文件的获取</w:t>
      </w:r>
    </w:p>
    <w:p w14:paraId="641AAB71">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获取时间：</w:t>
      </w:r>
      <w:r>
        <w:rPr>
          <w:rFonts w:hint="eastAsia" w:ascii="宋体" w:hAnsi="宋体" w:eastAsia="宋体" w:cs="宋体"/>
          <w:b/>
          <w:bCs/>
          <w:sz w:val="21"/>
          <w:szCs w:val="21"/>
          <w:highlight w:val="none"/>
          <w:lang w:val="en-US" w:eastAsia="zh-CN"/>
        </w:rPr>
        <w:t>2026 年9月17 日</w:t>
      </w:r>
      <w:r>
        <w:rPr>
          <w:rFonts w:hint="eastAsia" w:ascii="宋体" w:hAnsi="宋体" w:eastAsia="宋体" w:cs="宋体"/>
          <w:sz w:val="21"/>
          <w:szCs w:val="21"/>
          <w:highlight w:val="none"/>
          <w:lang w:val="en-US" w:eastAsia="zh-CN"/>
        </w:rPr>
        <w:t>09时00分到</w:t>
      </w:r>
      <w:r>
        <w:rPr>
          <w:rFonts w:hint="eastAsia" w:ascii="宋体" w:hAnsi="宋体" w:eastAsia="宋体" w:cs="宋体"/>
          <w:b/>
          <w:bCs/>
          <w:sz w:val="21"/>
          <w:szCs w:val="21"/>
          <w:highlight w:val="none"/>
          <w:lang w:val="en-US" w:eastAsia="zh-CN"/>
        </w:rPr>
        <w:t>2026 年9月22日</w:t>
      </w:r>
      <w:r>
        <w:rPr>
          <w:rFonts w:hint="eastAsia" w:ascii="宋体" w:hAnsi="宋体" w:eastAsia="宋体" w:cs="宋体"/>
          <w:sz w:val="21"/>
          <w:szCs w:val="21"/>
          <w:highlight w:val="none"/>
          <w:lang w:val="en-US" w:eastAsia="zh-CN"/>
        </w:rPr>
        <w:t>16时00分</w:t>
      </w:r>
    </w:p>
    <w:p w14:paraId="31B2B786">
      <w:pPr>
        <w:pStyle w:val="2"/>
        <w:spacing w:before="182"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highlight w:val="none"/>
          <w:lang w:val="en-US" w:eastAsia="zh-CN"/>
        </w:rPr>
        <w:t>获取方式：邮箱发送有效报名资料转账购买或线下购买，售价：</w:t>
      </w:r>
      <w:r>
        <w:rPr>
          <w:rFonts w:hint="eastAsia" w:ascii="宋体" w:hAnsi="宋体" w:eastAsia="宋体" w:cs="宋体"/>
          <w:b/>
          <w:bCs/>
          <w:sz w:val="21"/>
          <w:szCs w:val="21"/>
          <w:highlight w:val="none"/>
          <w:lang w:val="en-US" w:eastAsia="zh-CN"/>
        </w:rPr>
        <w:t>¥ 600</w:t>
      </w:r>
      <w:r>
        <w:rPr>
          <w:rFonts w:hint="eastAsia" w:ascii="宋体" w:hAnsi="宋体" w:eastAsia="宋体" w:cs="宋体"/>
          <w:sz w:val="21"/>
          <w:szCs w:val="21"/>
          <w:highlight w:val="none"/>
          <w:lang w:val="en-US" w:eastAsia="zh-CN"/>
        </w:rPr>
        <w:t>元/包件（售后不退）</w:t>
      </w:r>
    </w:p>
    <w:p w14:paraId="65681C8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（1）邮箱报名需将以下清晰的材料发送至18606158310@163.com邮箱：</w:t>
      </w:r>
    </w:p>
    <w:p w14:paraId="56DCCAB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1）营业执照（或事业单位、社会团体法人证书）原件扫描件；</w:t>
      </w:r>
    </w:p>
    <w:p w14:paraId="6600A0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2）报名信息（准确的单位名称、纳税人登记号、联系人姓名、手机）；</w:t>
      </w:r>
    </w:p>
    <w:p w14:paraId="345FE08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3）转账凭证（</w:t>
      </w:r>
      <w:r>
        <w:rPr>
          <w:rFonts w:hint="eastAsia" w:ascii="宋体" w:hAnsi="宋体" w:eastAsia="宋体" w:cs="宋体"/>
          <w:color w:val="auto"/>
          <w:kern w:val="2"/>
          <w:sz w:val="21"/>
          <w:szCs w:val="21"/>
          <w:highlight w:val="none"/>
          <w:lang w:val="zh-CN"/>
        </w:rPr>
        <w:t>收款单位：上海健生教育配置招标有限公司</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开户银行：交通银行西藏南路支行</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帐号：310066564018150027780，</w:t>
      </w:r>
      <w:r>
        <w:rPr>
          <w:rFonts w:hint="eastAsia" w:ascii="宋体" w:hAnsi="宋体" w:eastAsia="宋体" w:cs="宋体"/>
          <w:b w:val="0"/>
          <w:bCs w:val="0"/>
          <w:sz w:val="21"/>
          <w:szCs w:val="21"/>
          <w:highlight w:val="none"/>
          <w:lang w:val="en-US" w:eastAsia="zh-CN"/>
        </w:rPr>
        <w:t>转账</w:t>
      </w:r>
      <w:r>
        <w:rPr>
          <w:rFonts w:hint="eastAsia" w:ascii="宋体" w:hAnsi="宋体" w:eastAsia="宋体" w:cs="宋体"/>
          <w:b w:val="0"/>
          <w:bCs w:val="0"/>
          <w:sz w:val="21"/>
          <w:szCs w:val="21"/>
          <w:highlight w:val="none"/>
          <w:lang w:val="zh-CN"/>
        </w:rPr>
        <w:t>注明：</w:t>
      </w:r>
      <w:r>
        <w:rPr>
          <w:rFonts w:hint="eastAsia" w:ascii="宋体" w:hAnsi="宋体" w:eastAsia="宋体" w:cs="宋体"/>
          <w:color w:val="auto"/>
          <w:kern w:val="2"/>
          <w:sz w:val="21"/>
          <w:szCs w:val="21"/>
          <w:highlight w:val="none"/>
          <w:lang w:val="zh-CN"/>
        </w:rPr>
        <w:t>“</w:t>
      </w:r>
      <w:r>
        <w:rPr>
          <w:rFonts w:hint="eastAsia" w:ascii="宋体" w:hAnsi="宋体" w:eastAsia="宋体" w:cs="宋体"/>
          <w:sz w:val="21"/>
          <w:szCs w:val="21"/>
          <w:highlight w:val="none"/>
          <w:lang w:val="en-US" w:eastAsia="zh-CN"/>
        </w:rPr>
        <w:t>JSCS26080781-N112</w:t>
      </w:r>
      <w:r>
        <w:rPr>
          <w:rFonts w:hint="eastAsia" w:ascii="宋体" w:hAnsi="宋体" w:eastAsia="宋体" w:cs="宋体"/>
          <w:color w:val="auto"/>
          <w:kern w:val="2"/>
          <w:sz w:val="21"/>
          <w:szCs w:val="21"/>
          <w:highlight w:val="none"/>
          <w:lang w:val="en-US" w:eastAsia="zh-CN"/>
        </w:rPr>
        <w:t xml:space="preserve"> 标书</w:t>
      </w:r>
      <w:r>
        <w:rPr>
          <w:rFonts w:hint="eastAsia" w:ascii="宋体" w:hAnsi="宋体" w:eastAsia="宋体" w:cs="宋体"/>
          <w:b w:val="0"/>
          <w:bCs w:val="0"/>
          <w:sz w:val="21"/>
          <w:szCs w:val="21"/>
          <w:highlight w:val="none"/>
          <w:lang w:val="en-US" w:eastAsia="zh-CN"/>
        </w:rPr>
        <w:t>费</w:t>
      </w:r>
      <w:r>
        <w:rPr>
          <w:rFonts w:hint="eastAsia" w:ascii="宋体" w:hAnsi="宋体" w:eastAsia="宋体" w:cs="宋体"/>
          <w:b w:val="0"/>
          <w:bCs w:val="0"/>
          <w:sz w:val="21"/>
          <w:szCs w:val="21"/>
          <w:highlight w:val="none"/>
          <w:lang w:val="zh-CN"/>
        </w:rPr>
        <w:t>”</w:t>
      </w:r>
      <w:r>
        <w:rPr>
          <w:rFonts w:hint="eastAsia" w:ascii="宋体" w:hAnsi="宋体" w:eastAsia="宋体" w:cs="宋体"/>
          <w:sz w:val="21"/>
          <w:szCs w:val="21"/>
          <w:highlight w:val="none"/>
          <w:lang w:val="en-US" w:eastAsia="zh-CN"/>
        </w:rPr>
        <w:t>）。</w:t>
      </w:r>
    </w:p>
    <w:p w14:paraId="4852C0CE">
      <w:pPr>
        <w:pStyle w:val="2"/>
        <w:keepNext w:val="0"/>
        <w:keepLines w:val="0"/>
        <w:pageBreakBefore w:val="0"/>
        <w:widowControl/>
        <w:kinsoku w:val="0"/>
        <w:wordWrap/>
        <w:overflowPunct/>
        <w:topLinePunct w:val="0"/>
        <w:autoSpaceDE w:val="0"/>
        <w:autoSpaceDN w:val="0"/>
        <w:bidi w:val="0"/>
        <w:adjustRightInd w:val="0"/>
        <w:snapToGrid w:val="0"/>
        <w:spacing w:before="3" w:line="360" w:lineRule="auto"/>
        <w:ind w:right="37" w:firstLine="388" w:firstLineChars="200"/>
        <w:jc w:val="both"/>
        <w:textAlignment w:val="baseline"/>
        <w:rPr>
          <w:rFonts w:hint="eastAsia" w:ascii="宋体" w:hAnsi="宋体" w:eastAsia="宋体" w:cs="宋体"/>
          <w:spacing w:val="-8"/>
          <w:sz w:val="21"/>
          <w:szCs w:val="21"/>
          <w:lang w:val="en-US" w:eastAsia="zh-CN"/>
        </w:rPr>
      </w:pPr>
      <w:r>
        <w:rPr>
          <w:rFonts w:hint="eastAsia" w:ascii="宋体" w:hAnsi="宋体" w:eastAsia="宋体" w:cs="宋体"/>
          <w:spacing w:val="-8"/>
          <w:sz w:val="21"/>
          <w:szCs w:val="21"/>
          <w:lang w:eastAsia="zh-CN"/>
        </w:rPr>
        <w:t>（</w:t>
      </w:r>
      <w:r>
        <w:rPr>
          <w:rFonts w:hint="eastAsia" w:ascii="宋体" w:hAnsi="宋体" w:eastAsia="宋体" w:cs="宋体"/>
          <w:spacing w:val="-8"/>
          <w:sz w:val="21"/>
          <w:szCs w:val="21"/>
          <w:lang w:val="en-US" w:eastAsia="zh-CN"/>
        </w:rPr>
        <w:t>2</w:t>
      </w:r>
      <w:r>
        <w:rPr>
          <w:rFonts w:hint="eastAsia" w:ascii="宋体" w:hAnsi="宋体" w:eastAsia="宋体" w:cs="宋体"/>
          <w:spacing w:val="-8"/>
          <w:sz w:val="21"/>
          <w:szCs w:val="21"/>
          <w:lang w:eastAsia="zh-CN"/>
        </w:rPr>
        <w:t>）</w:t>
      </w:r>
      <w:r>
        <w:rPr>
          <w:rFonts w:hint="eastAsia" w:ascii="宋体" w:hAnsi="宋体" w:eastAsia="宋体" w:cs="宋体"/>
          <w:spacing w:val="-8"/>
          <w:sz w:val="21"/>
          <w:szCs w:val="21"/>
          <w:lang w:val="en-US" w:eastAsia="zh-CN"/>
        </w:rPr>
        <w:t>线下报名地点：</w:t>
      </w:r>
      <w:r>
        <w:rPr>
          <w:rFonts w:hint="eastAsia" w:ascii="宋体" w:hAnsi="宋体" w:eastAsia="宋体" w:cs="宋体"/>
          <w:sz w:val="21"/>
          <w:szCs w:val="21"/>
          <w:highlight w:val="none"/>
        </w:rPr>
        <w:t>上海市</w:t>
      </w:r>
      <w:r>
        <w:rPr>
          <w:rFonts w:hint="eastAsia" w:ascii="宋体" w:hAnsi="宋体" w:eastAsia="宋体" w:cs="宋体"/>
          <w:sz w:val="21"/>
          <w:szCs w:val="21"/>
          <w:highlight w:val="none"/>
          <w:lang w:eastAsia="zh-CN"/>
        </w:rPr>
        <w:t>黄浦区</w:t>
      </w:r>
      <w:r>
        <w:rPr>
          <w:rFonts w:hint="eastAsia" w:ascii="宋体" w:hAnsi="宋体" w:eastAsia="宋体" w:cs="宋体"/>
          <w:sz w:val="21"/>
          <w:szCs w:val="21"/>
          <w:highlight w:val="none"/>
          <w:lang w:val="en-US" w:eastAsia="zh-CN"/>
        </w:rPr>
        <w:t>瞿溪路350号一楼</w:t>
      </w:r>
    </w:p>
    <w:p w14:paraId="5CB95E3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388" w:firstLineChars="200"/>
        <w:jc w:val="left"/>
        <w:textAlignment w:val="baseline"/>
        <w:rPr>
          <w:rFonts w:hint="eastAsia" w:ascii="宋体" w:hAnsi="宋体" w:eastAsia="宋体" w:cs="宋体"/>
          <w:spacing w:val="-8"/>
          <w:sz w:val="21"/>
          <w:szCs w:val="21"/>
          <w:lang w:val="en-US" w:eastAsia="zh-CN"/>
        </w:rPr>
      </w:pPr>
      <w:r>
        <w:rPr>
          <w:rFonts w:hint="eastAsia" w:ascii="宋体" w:hAnsi="宋体" w:eastAsia="宋体" w:cs="宋体"/>
          <w:spacing w:val="-8"/>
          <w:sz w:val="21"/>
          <w:szCs w:val="21"/>
          <w:lang w:val="en-US" w:eastAsia="zh-CN"/>
        </w:rPr>
        <w:t>报名时需提交：</w:t>
      </w:r>
    </w:p>
    <w:p w14:paraId="61D3DF6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1）营业执照（或事业单位、社会团体法人证书）原件扫描件；</w:t>
      </w:r>
    </w:p>
    <w:p w14:paraId="4D16B0F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2）报名信息（准确的单位名称、纳税人登记号、联系人姓名、手机）；</w:t>
      </w:r>
    </w:p>
    <w:p w14:paraId="52EC46C8">
      <w:pPr>
        <w:pStyle w:val="2"/>
        <w:keepNext w:val="0"/>
        <w:keepLines w:val="0"/>
        <w:pageBreakBefore w:val="0"/>
        <w:widowControl/>
        <w:kinsoku w:val="0"/>
        <w:wordWrap/>
        <w:overflowPunct/>
        <w:topLinePunct w:val="0"/>
        <w:autoSpaceDE w:val="0"/>
        <w:autoSpaceDN w:val="0"/>
        <w:bidi w:val="0"/>
        <w:adjustRightInd w:val="0"/>
        <w:snapToGrid w:val="0"/>
        <w:spacing w:before="3" w:line="360" w:lineRule="auto"/>
        <w:ind w:right="37" w:firstLine="420" w:firstLineChars="200"/>
        <w:jc w:val="both"/>
        <w:textAlignment w:val="baseline"/>
        <w:rPr>
          <w:rFonts w:hint="eastAsia" w:ascii="宋体" w:hAnsi="宋体" w:eastAsia="宋体" w:cs="宋体"/>
          <w:spacing w:val="-8"/>
          <w:sz w:val="21"/>
          <w:szCs w:val="21"/>
          <w:lang w:val="en-US" w:eastAsia="zh-CN"/>
        </w:rPr>
      </w:pPr>
      <w:r>
        <w:rPr>
          <w:rFonts w:hint="eastAsia" w:ascii="宋体" w:hAnsi="宋体" w:eastAsia="宋体" w:cs="宋体"/>
          <w:sz w:val="21"/>
          <w:szCs w:val="21"/>
          <w:highlight w:val="none"/>
          <w:lang w:val="en-US" w:eastAsia="zh-CN"/>
        </w:rPr>
        <w:t>3）转账凭证（</w:t>
      </w:r>
      <w:r>
        <w:rPr>
          <w:rFonts w:hint="eastAsia" w:ascii="宋体" w:hAnsi="宋体" w:eastAsia="宋体" w:cs="宋体"/>
          <w:color w:val="auto"/>
          <w:kern w:val="2"/>
          <w:sz w:val="21"/>
          <w:szCs w:val="21"/>
          <w:highlight w:val="none"/>
          <w:lang w:val="zh-CN"/>
        </w:rPr>
        <w:t>收款单位：上海健生教育配置招标有限公司</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开户银行：交通银行西藏南路支行</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帐号：310066564018150027780，</w:t>
      </w:r>
      <w:r>
        <w:rPr>
          <w:rFonts w:hint="eastAsia" w:ascii="宋体" w:hAnsi="宋体" w:eastAsia="宋体" w:cs="宋体"/>
          <w:b w:val="0"/>
          <w:bCs w:val="0"/>
          <w:sz w:val="21"/>
          <w:szCs w:val="21"/>
          <w:highlight w:val="none"/>
          <w:lang w:val="en-US" w:eastAsia="zh-CN"/>
        </w:rPr>
        <w:t>转账</w:t>
      </w:r>
      <w:r>
        <w:rPr>
          <w:rFonts w:hint="eastAsia" w:ascii="宋体" w:hAnsi="宋体" w:eastAsia="宋体" w:cs="宋体"/>
          <w:b w:val="0"/>
          <w:bCs w:val="0"/>
          <w:sz w:val="21"/>
          <w:szCs w:val="21"/>
          <w:highlight w:val="none"/>
          <w:lang w:val="zh-CN"/>
        </w:rPr>
        <w:t>注明：</w:t>
      </w:r>
      <w:r>
        <w:rPr>
          <w:rFonts w:hint="eastAsia" w:ascii="宋体" w:hAnsi="宋体" w:eastAsia="宋体" w:cs="宋体"/>
          <w:color w:val="auto"/>
          <w:kern w:val="2"/>
          <w:sz w:val="21"/>
          <w:szCs w:val="21"/>
          <w:highlight w:val="none"/>
          <w:lang w:val="zh-CN"/>
        </w:rPr>
        <w:t>“</w:t>
      </w:r>
      <w:r>
        <w:rPr>
          <w:rFonts w:hint="eastAsia" w:cs="宋体"/>
          <w:sz w:val="21"/>
          <w:szCs w:val="21"/>
          <w:highlight w:val="none"/>
          <w:lang w:val="en-US" w:eastAsia="zh-CN"/>
        </w:rPr>
        <w:t>JSCS26080781-N112</w:t>
      </w:r>
      <w:r>
        <w:rPr>
          <w:rFonts w:hint="eastAsia" w:ascii="宋体" w:hAnsi="宋体" w:eastAsia="宋体" w:cs="宋体"/>
          <w:color w:val="auto"/>
          <w:kern w:val="2"/>
          <w:sz w:val="21"/>
          <w:szCs w:val="21"/>
          <w:highlight w:val="none"/>
          <w:lang w:val="en-US" w:eastAsia="zh-CN"/>
        </w:rPr>
        <w:t xml:space="preserve"> 标书</w:t>
      </w:r>
      <w:r>
        <w:rPr>
          <w:rFonts w:hint="eastAsia" w:ascii="宋体" w:hAnsi="宋体" w:eastAsia="宋体" w:cs="宋体"/>
          <w:b w:val="0"/>
          <w:bCs w:val="0"/>
          <w:sz w:val="21"/>
          <w:szCs w:val="21"/>
          <w:highlight w:val="none"/>
          <w:lang w:val="en-US" w:eastAsia="zh-CN"/>
        </w:rPr>
        <w:t>费</w:t>
      </w:r>
      <w:r>
        <w:rPr>
          <w:rFonts w:hint="eastAsia" w:ascii="宋体" w:hAnsi="宋体" w:eastAsia="宋体" w:cs="宋体"/>
          <w:b w:val="0"/>
          <w:bCs w:val="0"/>
          <w:sz w:val="21"/>
          <w:szCs w:val="21"/>
          <w:highlight w:val="none"/>
          <w:lang w:val="zh-CN"/>
        </w:rPr>
        <w:t>”</w:t>
      </w:r>
      <w:r>
        <w:rPr>
          <w:rFonts w:hint="eastAsia" w:ascii="宋体" w:hAnsi="宋体" w:eastAsia="宋体" w:cs="宋体"/>
          <w:sz w:val="21"/>
          <w:szCs w:val="21"/>
          <w:highlight w:val="none"/>
          <w:lang w:val="en-US" w:eastAsia="zh-CN"/>
        </w:rPr>
        <w:t>）。</w:t>
      </w:r>
    </w:p>
    <w:p w14:paraId="0CBA4729">
      <w:pPr>
        <w:pStyle w:val="2"/>
        <w:spacing w:before="3" w:line="360" w:lineRule="auto"/>
        <w:ind w:left="23" w:right="37" w:firstLine="480"/>
        <w:jc w:val="both"/>
        <w:rPr>
          <w:rFonts w:hint="eastAsia" w:ascii="宋体" w:hAnsi="宋体" w:eastAsia="宋体" w:cs="宋体"/>
          <w:sz w:val="21"/>
          <w:szCs w:val="21"/>
        </w:rPr>
      </w:pPr>
      <w:r>
        <w:rPr>
          <w:rFonts w:hint="eastAsia" w:ascii="宋体" w:hAnsi="宋体" w:eastAsia="宋体" w:cs="宋体"/>
          <w:spacing w:val="-8"/>
          <w:sz w:val="21"/>
          <w:szCs w:val="21"/>
        </w:rPr>
        <w:t>注：磋商供应商须保证所提交的文件、资料的内容真</w:t>
      </w:r>
      <w:r>
        <w:rPr>
          <w:rFonts w:hint="eastAsia" w:ascii="宋体" w:hAnsi="宋体" w:eastAsia="宋体" w:cs="宋体"/>
          <w:spacing w:val="-9"/>
          <w:sz w:val="21"/>
          <w:szCs w:val="21"/>
        </w:rPr>
        <w:t>实、完整、有效、一致，</w:t>
      </w:r>
      <w:r>
        <w:rPr>
          <w:rFonts w:hint="eastAsia" w:ascii="宋体" w:hAnsi="宋体" w:eastAsia="宋体" w:cs="宋体"/>
          <w:spacing w:val="-3"/>
          <w:sz w:val="21"/>
          <w:szCs w:val="21"/>
        </w:rPr>
        <w:t>如递交虚假的响应文件、资料或填写信息错误导致的与本项目有关的任何损失由</w:t>
      </w:r>
      <w:r>
        <w:rPr>
          <w:rFonts w:hint="eastAsia" w:ascii="宋体" w:hAnsi="宋体" w:eastAsia="宋体" w:cs="宋体"/>
          <w:spacing w:val="-2"/>
          <w:sz w:val="21"/>
          <w:szCs w:val="21"/>
        </w:rPr>
        <w:t>供应商承担。</w:t>
      </w:r>
    </w:p>
    <w:p w14:paraId="31D5FA52">
      <w:pPr>
        <w:pStyle w:val="2"/>
        <w:spacing w:line="360" w:lineRule="auto"/>
        <w:ind w:left="526"/>
        <w:rPr>
          <w:rFonts w:hint="eastAsia" w:ascii="宋体" w:hAnsi="宋体" w:eastAsia="宋体" w:cs="宋体"/>
          <w:sz w:val="21"/>
          <w:szCs w:val="21"/>
        </w:rPr>
      </w:pPr>
      <w:r>
        <w:rPr>
          <w:rFonts w:hint="eastAsia" w:ascii="宋体" w:hAnsi="宋体" w:eastAsia="宋体" w:cs="宋体"/>
          <w:b/>
          <w:bCs/>
          <w:spacing w:val="-4"/>
          <w:sz w:val="21"/>
          <w:szCs w:val="21"/>
        </w:rPr>
        <w:t>四、磋商响应截止时间和磋商时间</w:t>
      </w:r>
    </w:p>
    <w:p w14:paraId="2FE358E5">
      <w:pPr>
        <w:pStyle w:val="2"/>
        <w:spacing w:before="181" w:line="360" w:lineRule="auto"/>
        <w:ind w:left="26" w:right="99" w:firstLine="494"/>
        <w:rPr>
          <w:rFonts w:hint="eastAsia" w:ascii="宋体" w:hAnsi="宋体" w:eastAsia="宋体" w:cs="宋体"/>
          <w:sz w:val="21"/>
          <w:szCs w:val="21"/>
        </w:rPr>
      </w:pPr>
      <w:r>
        <w:rPr>
          <w:rFonts w:hint="eastAsia" w:ascii="宋体" w:hAnsi="宋体" w:eastAsia="宋体" w:cs="宋体"/>
          <w:spacing w:val="-7"/>
          <w:sz w:val="21"/>
          <w:szCs w:val="21"/>
        </w:rPr>
        <w:t>1.首次递交响应文件截止时间：2026</w:t>
      </w:r>
      <w:r>
        <w:rPr>
          <w:rFonts w:hint="eastAsia" w:ascii="宋体" w:hAnsi="宋体" w:eastAsia="宋体" w:cs="宋体"/>
          <w:spacing w:val="-50"/>
          <w:sz w:val="21"/>
          <w:szCs w:val="21"/>
        </w:rPr>
        <w:t xml:space="preserve"> </w:t>
      </w:r>
      <w:r>
        <w:rPr>
          <w:rFonts w:hint="eastAsia" w:ascii="宋体" w:hAnsi="宋体" w:eastAsia="宋体" w:cs="宋体"/>
          <w:spacing w:val="-7"/>
          <w:sz w:val="21"/>
          <w:szCs w:val="21"/>
        </w:rPr>
        <w:t>年</w:t>
      </w:r>
      <w:r>
        <w:rPr>
          <w:rFonts w:hint="eastAsia" w:ascii="宋体" w:hAnsi="宋体" w:eastAsia="宋体" w:cs="宋体"/>
          <w:spacing w:val="-30"/>
          <w:sz w:val="21"/>
          <w:szCs w:val="21"/>
        </w:rPr>
        <w:t xml:space="preserve"> </w:t>
      </w:r>
      <w:r>
        <w:rPr>
          <w:rFonts w:hint="eastAsia" w:cs="宋体"/>
          <w:spacing w:val="-7"/>
          <w:sz w:val="21"/>
          <w:szCs w:val="21"/>
          <w:lang w:val="en-US" w:eastAsia="zh-CN"/>
        </w:rPr>
        <w:t>9</w:t>
      </w:r>
      <w:r>
        <w:rPr>
          <w:rFonts w:hint="eastAsia" w:ascii="宋体" w:hAnsi="宋体" w:eastAsia="宋体" w:cs="宋体"/>
          <w:spacing w:val="-7"/>
          <w:sz w:val="21"/>
          <w:szCs w:val="21"/>
        </w:rPr>
        <w:t>月</w:t>
      </w:r>
      <w:r>
        <w:rPr>
          <w:rFonts w:hint="eastAsia" w:ascii="宋体" w:hAnsi="宋体" w:eastAsia="宋体" w:cs="宋体"/>
          <w:spacing w:val="-31"/>
          <w:sz w:val="21"/>
          <w:szCs w:val="21"/>
        </w:rPr>
        <w:t xml:space="preserve"> </w:t>
      </w:r>
      <w:r>
        <w:rPr>
          <w:rFonts w:hint="eastAsia" w:cs="宋体"/>
          <w:spacing w:val="-7"/>
          <w:sz w:val="21"/>
          <w:szCs w:val="21"/>
          <w:lang w:val="en-US" w:eastAsia="zh-CN"/>
        </w:rPr>
        <w:t>28</w:t>
      </w:r>
      <w:r>
        <w:rPr>
          <w:rFonts w:hint="eastAsia" w:ascii="宋体" w:hAnsi="宋体" w:eastAsia="宋体" w:cs="宋体"/>
          <w:spacing w:val="-7"/>
          <w:sz w:val="21"/>
          <w:szCs w:val="21"/>
        </w:rPr>
        <w:t>日</w:t>
      </w:r>
      <w:r>
        <w:rPr>
          <w:rFonts w:hint="eastAsia" w:ascii="宋体" w:hAnsi="宋体" w:eastAsia="宋体" w:cs="宋体"/>
          <w:spacing w:val="-49"/>
          <w:sz w:val="21"/>
          <w:szCs w:val="21"/>
        </w:rPr>
        <w:t xml:space="preserve"> </w:t>
      </w:r>
      <w:r>
        <w:rPr>
          <w:rFonts w:hint="eastAsia" w:cs="宋体"/>
          <w:spacing w:val="-7"/>
          <w:sz w:val="21"/>
          <w:szCs w:val="21"/>
          <w:lang w:val="en-US" w:eastAsia="zh-CN"/>
        </w:rPr>
        <w:t>13</w:t>
      </w:r>
      <w:r>
        <w:rPr>
          <w:rFonts w:hint="eastAsia" w:ascii="宋体" w:hAnsi="宋体" w:eastAsia="宋体" w:cs="宋体"/>
          <w:spacing w:val="-7"/>
          <w:sz w:val="21"/>
          <w:szCs w:val="21"/>
        </w:rPr>
        <w:t>:</w:t>
      </w:r>
      <w:r>
        <w:rPr>
          <w:rFonts w:hint="eastAsia" w:cs="宋体"/>
          <w:spacing w:val="-7"/>
          <w:sz w:val="21"/>
          <w:szCs w:val="21"/>
          <w:lang w:val="en-US" w:eastAsia="zh-CN"/>
        </w:rPr>
        <w:t>3</w:t>
      </w:r>
      <w:r>
        <w:rPr>
          <w:rFonts w:hint="eastAsia" w:ascii="宋体" w:hAnsi="宋体" w:eastAsia="宋体" w:cs="宋体"/>
          <w:spacing w:val="-7"/>
          <w:sz w:val="21"/>
          <w:szCs w:val="21"/>
        </w:rPr>
        <w:t>0（北京时间</w:t>
      </w:r>
      <w:r>
        <w:rPr>
          <w:rFonts w:hint="eastAsia" w:ascii="宋体" w:hAnsi="宋体" w:eastAsia="宋体" w:cs="宋体"/>
          <w:spacing w:val="-8"/>
          <w:sz w:val="21"/>
          <w:szCs w:val="21"/>
        </w:rPr>
        <w:t>）。迟到</w:t>
      </w:r>
      <w:r>
        <w:rPr>
          <w:rFonts w:hint="eastAsia" w:ascii="宋体" w:hAnsi="宋体" w:eastAsia="宋体" w:cs="宋体"/>
          <w:spacing w:val="-1"/>
          <w:sz w:val="21"/>
          <w:szCs w:val="21"/>
        </w:rPr>
        <w:t>或不符合规定的响应文件恕不接受。</w:t>
      </w:r>
    </w:p>
    <w:p w14:paraId="4D5808E2">
      <w:pPr>
        <w:pStyle w:val="2"/>
        <w:spacing w:before="183" w:line="360" w:lineRule="auto"/>
        <w:ind w:left="506"/>
        <w:rPr>
          <w:rFonts w:hint="eastAsia" w:ascii="宋体" w:hAnsi="宋体" w:eastAsia="宋体" w:cs="宋体"/>
          <w:sz w:val="21"/>
          <w:szCs w:val="21"/>
        </w:rPr>
      </w:pPr>
      <w:r>
        <w:rPr>
          <w:rFonts w:hint="eastAsia" w:ascii="宋体" w:hAnsi="宋体" w:eastAsia="宋体" w:cs="宋体"/>
          <w:spacing w:val="-9"/>
          <w:sz w:val="21"/>
          <w:szCs w:val="21"/>
        </w:rPr>
        <w:t>2.磋商时间：2026</w:t>
      </w:r>
      <w:r>
        <w:rPr>
          <w:rFonts w:hint="eastAsia" w:ascii="宋体" w:hAnsi="宋体" w:eastAsia="宋体" w:cs="宋体"/>
          <w:spacing w:val="-47"/>
          <w:sz w:val="21"/>
          <w:szCs w:val="21"/>
        </w:rPr>
        <w:t xml:space="preserve"> </w:t>
      </w:r>
      <w:r>
        <w:rPr>
          <w:rFonts w:hint="eastAsia" w:ascii="宋体" w:hAnsi="宋体" w:eastAsia="宋体" w:cs="宋体"/>
          <w:spacing w:val="-9"/>
          <w:sz w:val="21"/>
          <w:szCs w:val="21"/>
        </w:rPr>
        <w:t>年</w:t>
      </w:r>
      <w:r>
        <w:rPr>
          <w:rFonts w:hint="eastAsia" w:ascii="宋体" w:hAnsi="宋体" w:eastAsia="宋体" w:cs="宋体"/>
          <w:spacing w:val="-33"/>
          <w:sz w:val="21"/>
          <w:szCs w:val="21"/>
        </w:rPr>
        <w:t xml:space="preserve"> </w:t>
      </w:r>
      <w:r>
        <w:rPr>
          <w:rFonts w:hint="eastAsia" w:cs="宋体"/>
          <w:spacing w:val="-9"/>
          <w:sz w:val="21"/>
          <w:szCs w:val="21"/>
          <w:lang w:val="en-US" w:eastAsia="zh-CN"/>
        </w:rPr>
        <w:t>9</w:t>
      </w:r>
      <w:r>
        <w:rPr>
          <w:rFonts w:hint="eastAsia" w:ascii="宋体" w:hAnsi="宋体" w:eastAsia="宋体" w:cs="宋体"/>
          <w:spacing w:val="-9"/>
          <w:sz w:val="21"/>
          <w:szCs w:val="21"/>
        </w:rPr>
        <w:t>月</w:t>
      </w:r>
      <w:r>
        <w:rPr>
          <w:rFonts w:hint="eastAsia" w:ascii="宋体" w:hAnsi="宋体" w:eastAsia="宋体" w:cs="宋体"/>
          <w:spacing w:val="-33"/>
          <w:sz w:val="21"/>
          <w:szCs w:val="21"/>
        </w:rPr>
        <w:t xml:space="preserve"> </w:t>
      </w:r>
      <w:r>
        <w:rPr>
          <w:rFonts w:hint="eastAsia" w:cs="宋体"/>
          <w:spacing w:val="-33"/>
          <w:sz w:val="21"/>
          <w:szCs w:val="21"/>
          <w:lang w:val="en-US" w:eastAsia="zh-CN"/>
        </w:rPr>
        <w:t xml:space="preserve">28 </w:t>
      </w:r>
      <w:r>
        <w:rPr>
          <w:rFonts w:hint="eastAsia" w:ascii="宋体" w:hAnsi="宋体" w:eastAsia="宋体" w:cs="宋体"/>
          <w:spacing w:val="-9"/>
          <w:sz w:val="21"/>
          <w:szCs w:val="21"/>
        </w:rPr>
        <w:t>日</w:t>
      </w:r>
      <w:r>
        <w:rPr>
          <w:rFonts w:hint="eastAsia" w:ascii="宋体" w:hAnsi="宋体" w:eastAsia="宋体" w:cs="宋体"/>
          <w:spacing w:val="-49"/>
          <w:sz w:val="21"/>
          <w:szCs w:val="21"/>
        </w:rPr>
        <w:t xml:space="preserve"> </w:t>
      </w:r>
      <w:r>
        <w:rPr>
          <w:rFonts w:hint="eastAsia" w:cs="宋体"/>
          <w:spacing w:val="-7"/>
          <w:sz w:val="21"/>
          <w:szCs w:val="21"/>
          <w:lang w:val="en-US" w:eastAsia="zh-CN"/>
        </w:rPr>
        <w:t>13</w:t>
      </w:r>
      <w:r>
        <w:rPr>
          <w:rFonts w:hint="eastAsia" w:ascii="宋体" w:hAnsi="宋体" w:eastAsia="宋体" w:cs="宋体"/>
          <w:spacing w:val="-7"/>
          <w:sz w:val="21"/>
          <w:szCs w:val="21"/>
        </w:rPr>
        <w:t>:</w:t>
      </w:r>
      <w:r>
        <w:rPr>
          <w:rFonts w:hint="eastAsia" w:cs="宋体"/>
          <w:spacing w:val="-7"/>
          <w:sz w:val="21"/>
          <w:szCs w:val="21"/>
          <w:lang w:val="en-US" w:eastAsia="zh-CN"/>
        </w:rPr>
        <w:t>3</w:t>
      </w:r>
      <w:r>
        <w:rPr>
          <w:rFonts w:hint="eastAsia" w:ascii="宋体" w:hAnsi="宋体" w:eastAsia="宋体" w:cs="宋体"/>
          <w:spacing w:val="-7"/>
          <w:sz w:val="21"/>
          <w:szCs w:val="21"/>
        </w:rPr>
        <w:t>0</w:t>
      </w:r>
      <w:r>
        <w:rPr>
          <w:rFonts w:hint="eastAsia" w:ascii="宋体" w:hAnsi="宋体" w:eastAsia="宋体" w:cs="宋体"/>
          <w:spacing w:val="-9"/>
          <w:sz w:val="21"/>
          <w:szCs w:val="21"/>
        </w:rPr>
        <w:t>（北京时间）。</w:t>
      </w:r>
    </w:p>
    <w:p w14:paraId="59106EE4">
      <w:pPr>
        <w:pStyle w:val="2"/>
        <w:spacing w:before="184" w:line="360" w:lineRule="auto"/>
        <w:ind w:left="507"/>
        <w:rPr>
          <w:rFonts w:hint="eastAsia" w:ascii="宋体" w:hAnsi="宋体" w:eastAsia="宋体" w:cs="宋体"/>
          <w:sz w:val="21"/>
          <w:szCs w:val="21"/>
        </w:rPr>
      </w:pPr>
      <w:r>
        <w:rPr>
          <w:rFonts w:hint="eastAsia" w:ascii="宋体" w:hAnsi="宋体" w:eastAsia="宋体" w:cs="宋体"/>
          <w:b/>
          <w:bCs/>
          <w:spacing w:val="-3"/>
          <w:sz w:val="21"/>
          <w:szCs w:val="21"/>
        </w:rPr>
        <w:t>五、磋商响应文件递交地点和磋商地点</w:t>
      </w:r>
    </w:p>
    <w:p w14:paraId="2CD4B34A">
      <w:pPr>
        <w:pStyle w:val="2"/>
        <w:spacing w:before="183" w:line="360" w:lineRule="auto"/>
        <w:ind w:left="521"/>
        <w:rPr>
          <w:rFonts w:hint="eastAsia" w:ascii="宋体" w:hAnsi="宋体" w:eastAsia="宋体" w:cs="宋体"/>
          <w:sz w:val="21"/>
          <w:szCs w:val="21"/>
        </w:rPr>
      </w:pPr>
      <w:r>
        <w:rPr>
          <w:rFonts w:hint="eastAsia" w:ascii="宋体" w:hAnsi="宋体" w:eastAsia="宋体" w:cs="宋体"/>
          <w:spacing w:val="-3"/>
          <w:sz w:val="21"/>
          <w:szCs w:val="21"/>
        </w:rPr>
        <w:t>1.磋商响应文件递交地点：</w:t>
      </w:r>
      <w:r>
        <w:rPr>
          <w:rFonts w:hint="eastAsia" w:ascii="宋体" w:hAnsi="宋体" w:eastAsia="宋体" w:cs="宋体"/>
          <w:sz w:val="21"/>
          <w:szCs w:val="21"/>
          <w:highlight w:val="none"/>
        </w:rPr>
        <w:t>上海市百色支路 35 号</w:t>
      </w:r>
      <w:r>
        <w:rPr>
          <w:rFonts w:hint="eastAsia" w:ascii="宋体" w:hAnsi="宋体" w:eastAsia="宋体" w:cs="宋体"/>
          <w:sz w:val="21"/>
          <w:szCs w:val="21"/>
          <w:highlight w:val="none"/>
          <w:lang w:val="en-US" w:eastAsia="zh-CN"/>
        </w:rPr>
        <w:t>光华楼1001室</w:t>
      </w:r>
      <w:r>
        <w:rPr>
          <w:rFonts w:hint="eastAsia" w:ascii="宋体" w:hAnsi="宋体" w:eastAsia="宋体" w:cs="宋体"/>
          <w:spacing w:val="-4"/>
          <w:sz w:val="21"/>
          <w:szCs w:val="21"/>
        </w:rPr>
        <w:t>。</w:t>
      </w:r>
    </w:p>
    <w:p w14:paraId="55FE8F39">
      <w:pPr>
        <w:pStyle w:val="2"/>
        <w:spacing w:before="183" w:line="360" w:lineRule="auto"/>
        <w:ind w:left="506"/>
        <w:rPr>
          <w:rFonts w:hint="eastAsia" w:ascii="宋体" w:hAnsi="宋体" w:eastAsia="宋体" w:cs="宋体"/>
          <w:sz w:val="21"/>
          <w:szCs w:val="21"/>
        </w:rPr>
      </w:pPr>
      <w:r>
        <w:rPr>
          <w:rFonts w:hint="eastAsia" w:ascii="宋体" w:hAnsi="宋体" w:eastAsia="宋体" w:cs="宋体"/>
          <w:spacing w:val="-4"/>
          <w:sz w:val="21"/>
          <w:szCs w:val="21"/>
        </w:rPr>
        <w:t>2.磋商地点：</w:t>
      </w:r>
      <w:r>
        <w:rPr>
          <w:rFonts w:hint="eastAsia" w:ascii="宋体" w:hAnsi="宋体" w:eastAsia="宋体" w:cs="宋体"/>
          <w:sz w:val="21"/>
          <w:szCs w:val="21"/>
          <w:highlight w:val="none"/>
        </w:rPr>
        <w:t>上海市百色支路 35 号</w:t>
      </w:r>
      <w:r>
        <w:rPr>
          <w:rFonts w:hint="eastAsia" w:ascii="宋体" w:hAnsi="宋体" w:eastAsia="宋体" w:cs="宋体"/>
          <w:sz w:val="21"/>
          <w:szCs w:val="21"/>
          <w:highlight w:val="none"/>
          <w:lang w:val="en-US" w:eastAsia="zh-CN"/>
        </w:rPr>
        <w:t>光华楼1001室</w:t>
      </w:r>
      <w:r>
        <w:rPr>
          <w:rFonts w:hint="eastAsia" w:ascii="宋体" w:hAnsi="宋体" w:eastAsia="宋体" w:cs="宋体"/>
          <w:spacing w:val="-4"/>
          <w:sz w:val="21"/>
          <w:szCs w:val="21"/>
        </w:rPr>
        <w:t>。</w:t>
      </w:r>
    </w:p>
    <w:p w14:paraId="65593D08">
      <w:pPr>
        <w:pStyle w:val="2"/>
        <w:spacing w:before="183" w:line="360" w:lineRule="auto"/>
        <w:ind w:left="521"/>
        <w:rPr>
          <w:rFonts w:hint="eastAsia" w:ascii="宋体" w:hAnsi="宋体" w:eastAsia="宋体" w:cs="宋体"/>
          <w:spacing w:val="-3"/>
          <w:sz w:val="21"/>
          <w:szCs w:val="21"/>
        </w:rPr>
      </w:pPr>
      <w:r>
        <w:rPr>
          <w:rFonts w:hint="eastAsia" w:ascii="宋体" w:hAnsi="宋体" w:eastAsia="宋体" w:cs="宋体"/>
          <w:spacing w:val="-3"/>
          <w:sz w:val="21"/>
          <w:szCs w:val="21"/>
        </w:rPr>
        <w:t>3.磋商所需携带其他材料：</w:t>
      </w:r>
    </w:p>
    <w:p w14:paraId="4C1FEE08">
      <w:pPr>
        <w:pStyle w:val="2"/>
        <w:spacing w:before="183" w:line="360" w:lineRule="auto"/>
        <w:ind w:left="521"/>
        <w:rPr>
          <w:rFonts w:hint="eastAsia" w:ascii="宋体" w:hAnsi="宋体" w:eastAsia="宋体" w:cs="宋体"/>
          <w:spacing w:val="-3"/>
          <w:sz w:val="21"/>
          <w:szCs w:val="21"/>
        </w:rPr>
      </w:pPr>
      <w:r>
        <w:rPr>
          <w:rFonts w:hint="eastAsia" w:ascii="宋体" w:hAnsi="宋体" w:eastAsia="宋体" w:cs="宋体"/>
          <w:spacing w:val="-3"/>
          <w:sz w:val="21"/>
          <w:szCs w:val="21"/>
        </w:rPr>
        <w:t>法定代表人出席需携带：（1）法定代表人证明原件；（2）法定代表人身份证明原件及复印件加盖公章；</w:t>
      </w:r>
    </w:p>
    <w:p w14:paraId="7510B1E7">
      <w:pPr>
        <w:pStyle w:val="2"/>
        <w:spacing w:before="183" w:line="360" w:lineRule="auto"/>
        <w:ind w:left="521"/>
        <w:rPr>
          <w:rFonts w:hint="eastAsia" w:ascii="宋体" w:hAnsi="宋体" w:eastAsia="宋体" w:cs="宋体"/>
          <w:sz w:val="21"/>
          <w:szCs w:val="21"/>
        </w:rPr>
      </w:pPr>
      <w:r>
        <w:rPr>
          <w:rFonts w:hint="eastAsia" w:ascii="宋体" w:hAnsi="宋体" w:eastAsia="宋体" w:cs="宋体"/>
          <w:spacing w:val="-3"/>
          <w:sz w:val="21"/>
          <w:szCs w:val="21"/>
        </w:rPr>
        <w:t>委托代理人出席需携带：（1）投标人的法定代表人证明原件；（2）法定代表人授权委托书原件；（3）委托代理人身份证明原件及复印件加盖公章。</w:t>
      </w:r>
    </w:p>
    <w:p w14:paraId="543A4B88">
      <w:pPr>
        <w:pStyle w:val="2"/>
        <w:spacing w:before="1" w:line="360" w:lineRule="auto"/>
        <w:ind w:left="505"/>
        <w:rPr>
          <w:rFonts w:hint="eastAsia" w:ascii="宋体" w:hAnsi="宋体" w:eastAsia="宋体" w:cs="宋体"/>
          <w:sz w:val="21"/>
          <w:szCs w:val="21"/>
        </w:rPr>
      </w:pPr>
      <w:r>
        <w:rPr>
          <w:rFonts w:hint="eastAsia" w:ascii="宋体" w:hAnsi="宋体" w:eastAsia="宋体" w:cs="宋体"/>
          <w:b/>
          <w:bCs/>
          <w:spacing w:val="-3"/>
          <w:sz w:val="21"/>
          <w:szCs w:val="21"/>
        </w:rPr>
        <w:t>六、发布公告的媒介</w:t>
      </w:r>
    </w:p>
    <w:p w14:paraId="44633E4D">
      <w:pPr>
        <w:pStyle w:val="2"/>
        <w:spacing w:before="185" w:line="360" w:lineRule="auto"/>
        <w:ind w:left="28" w:right="99" w:firstLine="502"/>
        <w:rPr>
          <w:rFonts w:hint="eastAsia" w:ascii="宋体" w:hAnsi="宋体" w:eastAsia="宋体" w:cs="宋体"/>
          <w:sz w:val="21"/>
          <w:szCs w:val="21"/>
        </w:rPr>
      </w:pPr>
      <w:r>
        <w:rPr>
          <w:rFonts w:hint="eastAsia" w:ascii="宋体" w:hAnsi="宋体" w:eastAsia="宋体" w:cs="宋体"/>
          <w:spacing w:val="-5"/>
          <w:sz w:val="21"/>
          <w:szCs w:val="21"/>
        </w:rPr>
        <w:t>以上信息若有变更我们会通过“上海市工商外国语学校网站</w:t>
      </w:r>
      <w:r>
        <w:rPr>
          <w:rFonts w:hint="eastAsia" w:ascii="宋体" w:hAnsi="宋体" w:eastAsia="宋体" w:cs="宋体"/>
          <w:spacing w:val="-87"/>
          <w:sz w:val="21"/>
          <w:szCs w:val="21"/>
        </w:rPr>
        <w:t xml:space="preserve"> </w:t>
      </w:r>
      <w:r>
        <w:rPr>
          <w:rFonts w:hint="eastAsia" w:ascii="宋体" w:hAnsi="宋体" w:eastAsia="宋体" w:cs="宋体"/>
          <w:spacing w:val="-5"/>
          <w:sz w:val="21"/>
          <w:szCs w:val="21"/>
        </w:rPr>
        <w:t>”通知，请供应</w:t>
      </w:r>
      <w:r>
        <w:rPr>
          <w:rFonts w:hint="eastAsia" w:ascii="宋体" w:hAnsi="宋体" w:eastAsia="宋体" w:cs="宋体"/>
          <w:spacing w:val="-4"/>
          <w:sz w:val="21"/>
          <w:szCs w:val="21"/>
        </w:rPr>
        <w:t>商关注。</w:t>
      </w:r>
    </w:p>
    <w:p w14:paraId="43E87E72">
      <w:pPr>
        <w:pStyle w:val="2"/>
        <w:spacing w:before="1" w:line="360" w:lineRule="auto"/>
        <w:ind w:left="502"/>
        <w:rPr>
          <w:rFonts w:hint="eastAsia" w:ascii="宋体" w:hAnsi="宋体" w:eastAsia="宋体" w:cs="宋体"/>
          <w:sz w:val="21"/>
          <w:szCs w:val="21"/>
        </w:rPr>
      </w:pPr>
      <w:r>
        <w:rPr>
          <w:rFonts w:hint="eastAsia" w:ascii="宋体" w:hAnsi="宋体" w:eastAsia="宋体" w:cs="宋体"/>
          <w:b/>
          <w:bCs/>
          <w:spacing w:val="-4"/>
          <w:sz w:val="21"/>
          <w:szCs w:val="21"/>
        </w:rPr>
        <w:t>七、联系方式</w:t>
      </w:r>
    </w:p>
    <w:p w14:paraId="49A111C1">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b w:val="0"/>
          <w:bCs w:val="0"/>
          <w:sz w:val="21"/>
          <w:szCs w:val="21"/>
          <w:highlight w:val="none"/>
          <w:lang w:val="en-US" w:eastAsia="zh-CN"/>
        </w:rPr>
        <w:t>采购人</w:t>
      </w:r>
      <w:r>
        <w:rPr>
          <w:rFonts w:hint="eastAsia" w:ascii="宋体" w:hAnsi="宋体" w:eastAsia="宋体" w:cs="宋体"/>
          <w:b w:val="0"/>
          <w:bCs w:val="0"/>
          <w:sz w:val="21"/>
          <w:szCs w:val="21"/>
          <w:highlight w:val="none"/>
        </w:rPr>
        <w:t>：</w:t>
      </w:r>
      <w:r>
        <w:rPr>
          <w:rFonts w:hint="eastAsia" w:ascii="宋体" w:hAnsi="宋体" w:eastAsia="宋体" w:cs="宋体"/>
          <w:sz w:val="21"/>
          <w:szCs w:val="21"/>
          <w:highlight w:val="none"/>
          <w:lang w:val="en-US" w:eastAsia="zh-CN"/>
        </w:rPr>
        <w:t>上海市工商外国语学校</w:t>
      </w:r>
    </w:p>
    <w:p w14:paraId="53384A08">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w:t>
      </w:r>
      <w:r>
        <w:rPr>
          <w:rFonts w:hint="eastAsia" w:ascii="宋体" w:hAnsi="宋体" w:eastAsia="宋体" w:cs="宋体"/>
          <w:sz w:val="21"/>
          <w:szCs w:val="21"/>
          <w:highlight w:val="none"/>
          <w:lang w:eastAsia="zh-CN"/>
        </w:rPr>
        <w:t>上海市徐汇区百色支路35号</w:t>
      </w:r>
      <w:r>
        <w:rPr>
          <w:rFonts w:hint="eastAsia" w:ascii="宋体" w:hAnsi="宋体" w:eastAsia="宋体" w:cs="宋体"/>
          <w:sz w:val="21"/>
          <w:szCs w:val="21"/>
          <w:highlight w:val="none"/>
        </w:rPr>
        <w:t>　　　　　　</w:t>
      </w:r>
    </w:p>
    <w:p w14:paraId="61EB58A9">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联系</w:t>
      </w:r>
      <w:r>
        <w:rPr>
          <w:rFonts w:hint="eastAsia" w:ascii="宋体" w:hAnsi="宋体" w:eastAsia="宋体" w:cs="宋体"/>
          <w:sz w:val="21"/>
          <w:szCs w:val="21"/>
          <w:highlight w:val="none"/>
          <w:lang w:val="en-US" w:eastAsia="zh-CN"/>
        </w:rPr>
        <w:t>人</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冷</w:t>
      </w:r>
      <w:r>
        <w:rPr>
          <w:rFonts w:hint="eastAsia" w:ascii="宋体" w:hAnsi="宋体" w:eastAsia="宋体" w:cs="宋体"/>
          <w:sz w:val="21"/>
          <w:szCs w:val="21"/>
          <w:highlight w:val="none"/>
        </w:rPr>
        <w:t>老师</w:t>
      </w:r>
    </w:p>
    <w:p w14:paraId="055139FD">
      <w:pPr>
        <w:widowControl/>
        <w:spacing w:line="360" w:lineRule="auto"/>
        <w:ind w:firstLine="420" w:firstLineChars="20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电  话：</w:t>
      </w:r>
      <w:r>
        <w:rPr>
          <w:rFonts w:hint="eastAsia" w:ascii="宋体" w:hAnsi="宋体" w:eastAsia="宋体" w:cs="宋体"/>
          <w:sz w:val="21"/>
          <w:szCs w:val="21"/>
          <w:highlight w:val="none"/>
          <w:lang w:val="en-US"/>
        </w:rPr>
        <w:t>021-</w:t>
      </w:r>
      <w:r>
        <w:rPr>
          <w:rFonts w:hint="eastAsia" w:ascii="宋体" w:hAnsi="宋体" w:eastAsia="宋体" w:cs="宋体"/>
          <w:sz w:val="21"/>
          <w:szCs w:val="21"/>
          <w:highlight w:val="none"/>
          <w:lang w:val="en-US" w:eastAsia="zh-CN"/>
        </w:rPr>
        <w:t>64763038-</w:t>
      </w:r>
      <w:r>
        <w:rPr>
          <w:rFonts w:hint="eastAsia" w:ascii="宋体" w:hAnsi="宋体" w:eastAsia="宋体" w:cs="宋体"/>
          <w:color w:val="000000"/>
          <w:sz w:val="21"/>
          <w:szCs w:val="21"/>
          <w:lang w:val="en-US" w:eastAsia="zh-CN" w:bidi="ar"/>
        </w:rPr>
        <w:t>5038</w:t>
      </w:r>
      <w:r>
        <w:rPr>
          <w:rFonts w:hint="eastAsia" w:ascii="宋体" w:hAnsi="宋体" w:eastAsia="宋体" w:cs="宋体"/>
          <w:kern w:val="2"/>
          <w:sz w:val="21"/>
          <w:szCs w:val="21"/>
          <w:highlight w:val="none"/>
          <w:lang w:val="en-US" w:eastAsia="zh-CN"/>
        </w:rPr>
        <w:t xml:space="preserve">   </w:t>
      </w:r>
      <w:r>
        <w:rPr>
          <w:rFonts w:hint="eastAsia" w:ascii="宋体" w:hAnsi="宋体" w:eastAsia="宋体" w:cs="宋体"/>
          <w:sz w:val="21"/>
          <w:szCs w:val="21"/>
          <w:highlight w:val="none"/>
        </w:rPr>
        <w:t>　　　　　　</w:t>
      </w:r>
    </w:p>
    <w:p w14:paraId="00E3BBCE">
      <w:pPr>
        <w:widowControl/>
        <w:spacing w:line="360" w:lineRule="auto"/>
        <w:ind w:firstLine="420" w:firstLineChars="200"/>
        <w:jc w:val="left"/>
        <w:rPr>
          <w:rFonts w:hint="eastAsia" w:ascii="宋体" w:hAnsi="宋体" w:eastAsia="宋体" w:cs="宋体"/>
          <w:b w:val="0"/>
          <w:bCs w:val="0"/>
          <w:sz w:val="21"/>
          <w:szCs w:val="21"/>
          <w:highlight w:val="none"/>
          <w:lang w:val="en-US" w:eastAsia="zh-CN"/>
        </w:rPr>
      </w:pPr>
    </w:p>
    <w:p w14:paraId="02E52088">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b w:val="0"/>
          <w:bCs w:val="0"/>
          <w:sz w:val="21"/>
          <w:szCs w:val="21"/>
          <w:highlight w:val="none"/>
          <w:lang w:val="en-US" w:eastAsia="zh-CN"/>
        </w:rPr>
        <w:t>招标</w:t>
      </w:r>
      <w:r>
        <w:rPr>
          <w:rFonts w:hint="eastAsia" w:ascii="宋体" w:hAnsi="宋体" w:eastAsia="宋体" w:cs="宋体"/>
          <w:b w:val="0"/>
          <w:bCs w:val="0"/>
          <w:sz w:val="21"/>
          <w:szCs w:val="21"/>
          <w:highlight w:val="none"/>
        </w:rPr>
        <w:t>代理机构</w:t>
      </w:r>
      <w:r>
        <w:rPr>
          <w:rFonts w:hint="eastAsia" w:ascii="宋体" w:hAnsi="宋体" w:eastAsia="宋体" w:cs="宋体"/>
          <w:sz w:val="21"/>
          <w:szCs w:val="21"/>
          <w:highlight w:val="none"/>
        </w:rPr>
        <w:t>：上海健生教育配置招标有限公司　　　　　　　　　　　　</w:t>
      </w:r>
    </w:p>
    <w:p w14:paraId="0DA9BBC2">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址：上海市</w:t>
      </w:r>
      <w:r>
        <w:rPr>
          <w:rFonts w:hint="eastAsia" w:ascii="宋体" w:hAnsi="宋体" w:eastAsia="宋体" w:cs="宋体"/>
          <w:sz w:val="21"/>
          <w:szCs w:val="21"/>
          <w:highlight w:val="none"/>
          <w:lang w:eastAsia="zh-CN"/>
        </w:rPr>
        <w:t>黄浦区</w:t>
      </w:r>
      <w:r>
        <w:rPr>
          <w:rFonts w:hint="eastAsia" w:ascii="宋体" w:hAnsi="宋体" w:eastAsia="宋体" w:cs="宋体"/>
          <w:sz w:val="21"/>
          <w:szCs w:val="21"/>
          <w:highlight w:val="none"/>
          <w:lang w:val="en-US" w:eastAsia="zh-CN"/>
        </w:rPr>
        <w:t>瞿溪路350号一楼</w:t>
      </w:r>
      <w:r>
        <w:rPr>
          <w:rFonts w:hint="eastAsia" w:ascii="宋体" w:hAnsi="宋体" w:eastAsia="宋体" w:cs="宋体"/>
          <w:sz w:val="21"/>
          <w:szCs w:val="21"/>
          <w:highlight w:val="none"/>
        </w:rPr>
        <w:t>　　　　　　　　　　　　</w:t>
      </w:r>
    </w:p>
    <w:p w14:paraId="1A27697F">
      <w:pPr>
        <w:widowControl/>
        <w:spacing w:line="360" w:lineRule="auto"/>
        <w:ind w:firstLine="420" w:firstLineChars="20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联系</w:t>
      </w:r>
      <w:r>
        <w:rPr>
          <w:rFonts w:hint="eastAsia" w:ascii="宋体" w:hAnsi="宋体" w:eastAsia="宋体" w:cs="宋体"/>
          <w:sz w:val="21"/>
          <w:szCs w:val="21"/>
          <w:highlight w:val="none"/>
          <w:lang w:val="en-US" w:eastAsia="zh-CN"/>
        </w:rPr>
        <w:t>人</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倪天豪</w:t>
      </w:r>
    </w:p>
    <w:p w14:paraId="5DBE6CE7">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电  话：</w:t>
      </w:r>
      <w:r>
        <w:rPr>
          <w:rFonts w:hint="eastAsia" w:ascii="宋体" w:hAnsi="宋体" w:eastAsia="宋体" w:cs="宋体"/>
          <w:b w:val="0"/>
          <w:bCs w:val="0"/>
          <w:sz w:val="21"/>
          <w:szCs w:val="21"/>
          <w:highlight w:val="none"/>
          <w:lang w:val="en-US" w:eastAsia="zh-CN"/>
        </w:rPr>
        <w:t>021-53087656-122</w:t>
      </w:r>
      <w:r>
        <w:rPr>
          <w:rFonts w:hint="eastAsia" w:ascii="宋体" w:hAnsi="宋体" w:eastAsia="宋体" w:cs="宋体"/>
          <w:sz w:val="21"/>
          <w:szCs w:val="21"/>
          <w:highlight w:val="none"/>
        </w:rPr>
        <w:t>　　　　　　　　　　　　</w:t>
      </w:r>
    </w:p>
    <w:p w14:paraId="3A0B2753">
      <w:pPr>
        <w:widowControl/>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highlight w:val="none"/>
          <w:lang w:val="en-US" w:eastAsia="zh-CN"/>
        </w:rPr>
        <w:t>电子邮件：</w:t>
      </w:r>
      <w:r>
        <w:rPr>
          <w:rFonts w:hint="eastAsia" w:ascii="宋体" w:hAnsi="宋体" w:eastAsia="宋体" w:cs="宋体"/>
          <w:b w:val="0"/>
          <w:bCs w:val="0"/>
          <w:sz w:val="21"/>
          <w:szCs w:val="21"/>
          <w:highlight w:val="none"/>
          <w:lang w:val="en-US" w:eastAsia="zh-CN"/>
        </w:rPr>
        <w:t>zhaobiao@mail.jiansheng.com</w:t>
      </w:r>
    </w:p>
    <w:sectPr>
      <w:pgSz w:w="11906" w:h="16839"/>
      <w:pgMar w:top="1431" w:right="1785" w:bottom="1429"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Optimum">
    <w:altName w:val="宋体"/>
    <w:panose1 w:val="00000000000000000000"/>
    <w:charset w:val="86"/>
    <w:family w:val="roma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F989F"/>
    <w:multiLevelType w:val="singleLevel"/>
    <w:tmpl w:val="CF5F989F"/>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3377AA2"/>
    <w:rsid w:val="03FA6D38"/>
    <w:rsid w:val="043C62D4"/>
    <w:rsid w:val="12DF135C"/>
    <w:rsid w:val="14A81E98"/>
    <w:rsid w:val="1A072B9A"/>
    <w:rsid w:val="22856899"/>
    <w:rsid w:val="274B74D8"/>
    <w:rsid w:val="336E4790"/>
    <w:rsid w:val="33745910"/>
    <w:rsid w:val="39687ECB"/>
    <w:rsid w:val="3C702C06"/>
    <w:rsid w:val="3E5967DC"/>
    <w:rsid w:val="3E8B6399"/>
    <w:rsid w:val="4C9E7102"/>
    <w:rsid w:val="5786161C"/>
    <w:rsid w:val="706109EE"/>
    <w:rsid w:val="71CC6628"/>
    <w:rsid w:val="73D71312"/>
    <w:rsid w:val="747F28AF"/>
    <w:rsid w:val="7C7E4D85"/>
    <w:rsid w:val="7D5A0C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paragraph" w:styleId="3">
    <w:name w:val="Body Text Indent"/>
    <w:basedOn w:val="1"/>
    <w:qFormat/>
    <w:uiPriority w:val="0"/>
    <w:pPr>
      <w:ind w:left="525"/>
    </w:pPr>
  </w:style>
  <w:style w:type="paragraph" w:styleId="4">
    <w:name w:val="Body Text First Indent 2"/>
    <w:basedOn w:val="3"/>
    <w:qFormat/>
    <w:uiPriority w:val="0"/>
    <w:pPr>
      <w:spacing w:line="360" w:lineRule="auto"/>
      <w:ind w:left="600" w:leftChars="200" w:hanging="180" w:hangingChars="100"/>
    </w:pPr>
    <w:rPr>
      <w:rFonts w:ascii="Arial" w:hAnsi="Arial" w:eastAsia="宋体"/>
      <w:sz w:val="18"/>
    </w:rPr>
  </w:style>
  <w:style w:type="table" w:styleId="6">
    <w:name w:val="Table Grid"/>
    <w:basedOn w:val="5"/>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4"/>
      <w:szCs w:val="24"/>
      <w:lang w:val="en-US" w:eastAsia="en-US" w:bidi="ar-SA"/>
    </w:rPr>
  </w:style>
  <w:style w:type="paragraph" w:customStyle="1" w:styleId="10">
    <w:name w:val="Default"/>
    <w:autoRedefine/>
    <w:qFormat/>
    <w:uiPriority w:val="0"/>
    <w:pPr>
      <w:widowControl w:val="0"/>
      <w:autoSpaceDE w:val="0"/>
      <w:autoSpaceDN w:val="0"/>
      <w:adjustRightInd w:val="0"/>
    </w:pPr>
    <w:rPr>
      <w:rFonts w:ascii="Optimum" w:hAnsi="Times New Roman" w:eastAsia="Optimum"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4175</Words>
  <Characters>4806</Characters>
  <TotalTime>0</TotalTime>
  <ScaleCrop>false</ScaleCrop>
  <LinksUpToDate>false</LinksUpToDate>
  <CharactersWithSpaces>5081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2025-12-30T14:53:00Z</dcterms:created>
  <dc:creator>Jason</dc:creator>
  <cp:lastModifiedBy>In rays</cp:lastModifiedBy>
  <dcterms:modified xsi:type="dcterms:W3CDTF">2026-09-16T05:04:47Z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2026-01-08T10:16:58Z</vt:filetime>
  </property>
  <property fmtid="{D5CDD505-2E9C-101B-9397-08002B2CF9AE}" pid="4" name="KSOTemplateDocerSaveRecord">
    <vt:lpwstr>eyJoZGlkIjoiMWI3OGZhYjgxMDdmYjdjYWE3OThhNzk4MTQzYWM2MzciLCJ1c2VySWQiOiI5OTQzODM2NTAifQ==</vt:lpwstr>
  </property>
  <property fmtid="{D5CDD505-2E9C-101B-9397-08002B2CF9AE}" pid="5" name="KSOProductBuildVer">
    <vt:lpwstr>2052-12.1.0.28505</vt:lpwstr>
  </property>
  <property fmtid="{D5CDD505-2E9C-101B-9397-08002B2CF9AE}" pid="6" name="ICV">
    <vt:lpwstr>E172F8AD52804CCDB1F1FE911C846477_13</vt:lpwstr>
  </property>
</Properties>
</file>