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文献数据库项目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（</w:t>
      </w:r>
      <w:r>
        <w:rPr>
          <w:rFonts w:hint="eastAsia" w:cs="宋体"/>
          <w:b/>
          <w:bCs/>
          <w:spacing w:val="-4"/>
          <w:sz w:val="21"/>
          <w:szCs w:val="21"/>
          <w:lang w:val="en-US" w:eastAsia="zh-CN"/>
        </w:rPr>
        <w:t>第二次</w:t>
      </w: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）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文献数据库项目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文献数据库项目</w:t>
      </w:r>
    </w:p>
    <w:p w14:paraId="082F62B6">
      <w:pPr>
        <w:pStyle w:val="2"/>
        <w:spacing w:before="183" w:line="360" w:lineRule="auto"/>
        <w:ind w:left="506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JSCS26040286-N37</w:t>
      </w:r>
      <w:r>
        <w:rPr>
          <w:rFonts w:hint="eastAsia" w:cs="宋体"/>
          <w:spacing w:val="-1"/>
          <w:sz w:val="21"/>
          <w:szCs w:val="21"/>
          <w:lang w:val="en-US" w:eastAsia="zh-CN"/>
        </w:rPr>
        <w:t>-2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11.3万元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服务期：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自合同签订之日起至2026年12月3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日前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B1574AA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本项目需求资源包括：中国学术期刊、中国博士学位论文全文数据库、中国优秀硕士学位论文全文数据库、中国重要报纸全文数据库、中国重要会议论文全文数据库、基础教育知识服务平台（期刊）、漫游账号250个账号，AI功能50个账号。</w:t>
      </w:r>
      <w:bookmarkStart w:id="0" w:name="_GoBack"/>
      <w:bookmarkEnd w:id="0"/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7F3CACE3">
      <w:pPr>
        <w:spacing w:line="360" w:lineRule="auto"/>
        <w:rPr>
          <w:rFonts w:hint="eastAsia" w:ascii="宋体" w:hAnsi="宋体" w:eastAsia="宋体" w:cs="宋体"/>
          <w:sz w:val="21"/>
          <w:szCs w:val="21"/>
        </w:rPr>
        <w:sectPr>
          <w:pgSz w:w="11906" w:h="16839"/>
          <w:pgMar w:top="1431" w:right="687" w:bottom="0" w:left="1446" w:header="0" w:footer="0" w:gutter="0"/>
          <w:cols w:space="720" w:num="1"/>
        </w:sectPr>
      </w:pPr>
    </w:p>
    <w:p w14:paraId="20F3AE46">
      <w:pPr>
        <w:pStyle w:val="2"/>
        <w:spacing w:before="122" w:line="360" w:lineRule="auto"/>
        <w:ind w:firstLine="206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（5）本项目不接受联合体报名。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年5月19日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年5月25日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JSCS26040286-N37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JSCS26040286-N37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cs="宋体"/>
          <w:spacing w:val="-7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spacing w:val="-3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1.磋商响应文件递交地点：上海市百色支路</w:t>
      </w:r>
      <w:r>
        <w:rPr>
          <w:rFonts w:hint="eastAsia"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2.磋商地点：上海市百色支路</w:t>
      </w:r>
      <w:r>
        <w:rPr>
          <w:rFonts w:hint="eastAsia"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施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64763038-6207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191447"/>
    <w:rsid w:val="12DF135C"/>
    <w:rsid w:val="14A81E98"/>
    <w:rsid w:val="1A072B9A"/>
    <w:rsid w:val="274B74D8"/>
    <w:rsid w:val="28AD6347"/>
    <w:rsid w:val="39687ECB"/>
    <w:rsid w:val="3A930267"/>
    <w:rsid w:val="3E8B6399"/>
    <w:rsid w:val="4C9E7102"/>
    <w:rsid w:val="5CC50A6B"/>
    <w:rsid w:val="639F1637"/>
    <w:rsid w:val="7C7E4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1603</Words>
  <Characters>1865</Characters>
  <TotalTime>0</TotalTime>
  <ScaleCrop>false</ScaleCrop>
  <LinksUpToDate>false</LinksUpToDate>
  <CharactersWithSpaces>1977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2026-05-18T01:57:09Z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2052-12.1.0.26375</vt:lpwstr>
  </property>
  <property fmtid="{D5CDD505-2E9C-101B-9397-08002B2CF9AE}" pid="6" name="ICV">
    <vt:lpwstr>E172F8AD52804CCDB1F1FE911C846477_13</vt:lpwstr>
  </property>
</Properties>
</file>