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2A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hint="eastAsia" w:ascii="黑体" w:hAnsi="黑体" w:eastAsia="黑体" w:cstheme="minorBidi"/>
          <w:b/>
          <w:bCs/>
          <w:color w:val="auto"/>
          <w:kern w:val="2"/>
          <w:sz w:val="28"/>
          <w:szCs w:val="32"/>
          <w:lang w:val="en-US" w:eastAsia="zh-CN" w:bidi="ar-SA"/>
        </w:rPr>
      </w:pPr>
      <w:bookmarkStart w:id="3" w:name="_GoBack"/>
      <w:r>
        <w:rPr>
          <w:rFonts w:hint="eastAsia" w:ascii="黑体" w:hAnsi="黑体" w:eastAsia="黑体" w:cstheme="minorBidi"/>
          <w:b/>
          <w:bCs/>
          <w:color w:val="auto"/>
          <w:kern w:val="2"/>
          <w:sz w:val="28"/>
          <w:szCs w:val="32"/>
          <w:lang w:val="en-US" w:eastAsia="zh-CN" w:bidi="ar-SA"/>
        </w:rPr>
        <w:t>国际商务（跨境电商）学生产品出海workshop综合实践项目</w:t>
      </w:r>
    </w:p>
    <w:p w14:paraId="20BBF4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hint="eastAsia" w:ascii="黑体" w:hAnsi="黑体" w:eastAsia="黑体" w:cstheme="minorBidi"/>
          <w:b/>
          <w:bCs/>
          <w:color w:val="auto"/>
          <w:kern w:val="2"/>
          <w:sz w:val="28"/>
          <w:szCs w:val="32"/>
          <w:lang w:val="en-US" w:eastAsia="zh-CN" w:bidi="ar-SA"/>
        </w:rPr>
      </w:pPr>
      <w:r>
        <w:rPr>
          <w:rFonts w:hint="eastAsia" w:ascii="黑体" w:hAnsi="黑体" w:eastAsia="黑体" w:cstheme="minorBidi"/>
          <w:b/>
          <w:bCs/>
          <w:color w:val="auto"/>
          <w:kern w:val="2"/>
          <w:sz w:val="28"/>
          <w:szCs w:val="32"/>
          <w:lang w:val="en-US" w:eastAsia="zh-CN" w:bidi="ar-SA"/>
        </w:rPr>
        <w:t>采购需求</w:t>
      </w:r>
    </w:p>
    <w:bookmarkEnd w:id="3"/>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2F5B5017">
      <w:pPr>
        <w:spacing w:line="360" w:lineRule="auto"/>
        <w:rPr>
          <w:rFonts w:ascii="仿宋" w:hAnsi="仿宋" w:eastAsia="仿宋"/>
          <w:sz w:val="24"/>
          <w:szCs w:val="28"/>
        </w:rPr>
      </w:pPr>
      <w:r>
        <w:rPr>
          <w:rFonts w:hint="eastAsia" w:ascii="仿宋" w:hAnsi="仿宋" w:eastAsia="仿宋"/>
          <w:sz w:val="24"/>
          <w:szCs w:val="28"/>
        </w:rPr>
        <w:t>国际商务（跨境电商）学生产品出海workshop综合实践项目</w:t>
      </w:r>
    </w:p>
    <w:p w14:paraId="5D1C5DC4">
      <w:pPr>
        <w:spacing w:line="360" w:lineRule="auto"/>
        <w:rPr>
          <w:rFonts w:ascii="仿宋" w:hAnsi="仿宋" w:eastAsia="仿宋"/>
          <w:b/>
          <w:bCs/>
          <w:sz w:val="24"/>
          <w:szCs w:val="28"/>
        </w:rPr>
      </w:pPr>
      <w:r>
        <w:rPr>
          <w:rFonts w:hint="eastAsia" w:ascii="仿宋" w:hAnsi="仿宋" w:eastAsia="仿宋"/>
          <w:b/>
          <w:bCs/>
          <w:sz w:val="24"/>
          <w:szCs w:val="28"/>
        </w:rPr>
        <w:t>二、项目预算</w:t>
      </w:r>
    </w:p>
    <w:p w14:paraId="2446191F">
      <w:pPr>
        <w:spacing w:line="360" w:lineRule="auto"/>
        <w:rPr>
          <w:rFonts w:ascii="仿宋" w:hAnsi="仿宋" w:eastAsia="仿宋"/>
          <w:sz w:val="24"/>
          <w:szCs w:val="28"/>
        </w:rPr>
      </w:pPr>
      <w:r>
        <w:rPr>
          <w:rFonts w:hint="eastAsia" w:ascii="仿宋" w:hAnsi="仿宋" w:eastAsia="仿宋"/>
          <w:sz w:val="24"/>
          <w:szCs w:val="28"/>
        </w:rPr>
        <w:t>5万人民币（大写：伍万元</w:t>
      </w:r>
      <w:r>
        <w:rPr>
          <w:rFonts w:hint="eastAsia" w:ascii="仿宋" w:hAnsi="仿宋" w:eastAsia="仿宋"/>
          <w:sz w:val="24"/>
          <w:szCs w:val="28"/>
          <w:lang w:val="en-US" w:eastAsia="zh-CN"/>
        </w:rPr>
        <w:t>整</w:t>
      </w:r>
      <w:r>
        <w:rPr>
          <w:rFonts w:hint="eastAsia" w:ascii="仿宋" w:hAnsi="仿宋" w:eastAsia="仿宋"/>
          <w:sz w:val="24"/>
          <w:szCs w:val="28"/>
        </w:rPr>
        <w:t>）</w:t>
      </w:r>
    </w:p>
    <w:p w14:paraId="303E89D6">
      <w:pPr>
        <w:spacing w:line="360" w:lineRule="auto"/>
        <w:rPr>
          <w:rFonts w:ascii="仿宋" w:hAnsi="仿宋" w:eastAsia="仿宋"/>
          <w:b/>
          <w:bCs/>
          <w:sz w:val="24"/>
          <w:szCs w:val="28"/>
        </w:rPr>
      </w:pPr>
      <w:r>
        <w:rPr>
          <w:rFonts w:hint="eastAsia" w:ascii="仿宋" w:hAnsi="仿宋" w:eastAsia="仿宋"/>
          <w:b/>
          <w:bCs/>
          <w:sz w:val="24"/>
          <w:szCs w:val="28"/>
        </w:rPr>
        <w:t>三、供应商资格要求</w:t>
      </w:r>
    </w:p>
    <w:p w14:paraId="094F718C">
      <w:pPr>
        <w:spacing w:line="360" w:lineRule="auto"/>
        <w:rPr>
          <w:rFonts w:ascii="仿宋" w:hAnsi="仿宋" w:eastAsia="仿宋"/>
          <w:sz w:val="24"/>
          <w:szCs w:val="28"/>
        </w:rPr>
      </w:pPr>
      <w:r>
        <w:rPr>
          <w:rFonts w:hint="eastAsia" w:ascii="仿宋" w:hAnsi="仿宋" w:eastAsia="仿宋"/>
          <w:sz w:val="24"/>
          <w:szCs w:val="28"/>
        </w:rPr>
        <w:t>1、具有独立法人资格及相应经营范围；</w:t>
      </w:r>
    </w:p>
    <w:p w14:paraId="47C3B9E9">
      <w:pPr>
        <w:spacing w:line="360" w:lineRule="auto"/>
        <w:rPr>
          <w:rFonts w:ascii="仿宋" w:hAnsi="仿宋" w:eastAsia="仿宋"/>
          <w:sz w:val="24"/>
          <w:szCs w:val="28"/>
        </w:rPr>
      </w:pPr>
      <w:r>
        <w:rPr>
          <w:rFonts w:hint="eastAsia" w:ascii="仿宋" w:hAnsi="仿宋" w:eastAsia="仿宋"/>
          <w:sz w:val="24"/>
          <w:szCs w:val="28"/>
        </w:rPr>
        <w:t>2、具有国家或有关政府部门颁发的资质证明文件；</w:t>
      </w:r>
    </w:p>
    <w:p w14:paraId="3AC0065F">
      <w:pPr>
        <w:spacing w:line="360" w:lineRule="auto"/>
        <w:rPr>
          <w:rFonts w:ascii="仿宋" w:hAnsi="仿宋" w:eastAsia="仿宋"/>
          <w:sz w:val="24"/>
          <w:szCs w:val="28"/>
        </w:rPr>
      </w:pPr>
      <w:r>
        <w:rPr>
          <w:rFonts w:hint="eastAsia" w:ascii="仿宋" w:hAnsi="仿宋" w:eastAsia="仿宋"/>
          <w:sz w:val="24"/>
          <w:szCs w:val="28"/>
        </w:rPr>
        <w:t>3、具有履行合同所必需的设备和专业技术能力的证明材料；</w:t>
      </w:r>
    </w:p>
    <w:p w14:paraId="73C14579">
      <w:pPr>
        <w:spacing w:line="360" w:lineRule="auto"/>
        <w:rPr>
          <w:rFonts w:ascii="仿宋" w:hAnsi="仿宋" w:eastAsia="仿宋"/>
          <w:sz w:val="24"/>
          <w:szCs w:val="28"/>
        </w:rPr>
      </w:pPr>
      <w:r>
        <w:rPr>
          <w:rFonts w:hint="eastAsia" w:ascii="仿宋" w:hAnsi="仿宋" w:eastAsia="仿宋"/>
          <w:sz w:val="24"/>
          <w:szCs w:val="28"/>
        </w:rPr>
        <w:t>4、具有良好的信誉和相应产品的销售业绩;</w:t>
      </w:r>
    </w:p>
    <w:p w14:paraId="5893206D">
      <w:pPr>
        <w:spacing w:line="360" w:lineRule="auto"/>
        <w:rPr>
          <w:rFonts w:ascii="仿宋" w:hAnsi="仿宋" w:eastAsia="仿宋"/>
          <w:sz w:val="24"/>
          <w:szCs w:val="28"/>
        </w:rPr>
      </w:pPr>
      <w:r>
        <w:rPr>
          <w:rFonts w:hint="eastAsia" w:ascii="仿宋" w:hAnsi="仿宋" w:eastAsia="仿宋"/>
          <w:sz w:val="24"/>
          <w:szCs w:val="28"/>
        </w:rPr>
        <w:t>5、近三年内，在经营活动中没有重大违法记录；</w:t>
      </w:r>
    </w:p>
    <w:p w14:paraId="1F4FDDFA">
      <w:pPr>
        <w:spacing w:line="360" w:lineRule="auto"/>
        <w:rPr>
          <w:rFonts w:ascii="仿宋" w:hAnsi="仿宋" w:eastAsia="仿宋"/>
          <w:sz w:val="24"/>
          <w:szCs w:val="28"/>
        </w:rPr>
      </w:pPr>
      <w:r>
        <w:rPr>
          <w:rFonts w:hint="eastAsia" w:ascii="仿宋" w:hAnsi="仿宋" w:eastAsia="仿宋"/>
          <w:sz w:val="24"/>
          <w:szCs w:val="28"/>
        </w:rPr>
        <w:t>6、单位负责人为同一人或者存在直接控股、管理关系的不同供应商，不得同时参加本采购项目投标；</w:t>
      </w:r>
    </w:p>
    <w:p w14:paraId="56037445">
      <w:pPr>
        <w:spacing w:line="360" w:lineRule="auto"/>
        <w:rPr>
          <w:rFonts w:ascii="仿宋" w:hAnsi="仿宋" w:eastAsia="仿宋"/>
          <w:sz w:val="24"/>
          <w:szCs w:val="28"/>
        </w:rPr>
      </w:pPr>
      <w:r>
        <w:rPr>
          <w:rFonts w:hint="eastAsia" w:ascii="仿宋" w:hAnsi="仿宋" w:eastAsia="仿宋"/>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pPr>
        <w:spacing w:line="360" w:lineRule="auto"/>
        <w:rPr>
          <w:rFonts w:ascii="仿宋" w:hAnsi="仿宋" w:eastAsia="仿宋"/>
          <w:sz w:val="24"/>
          <w:szCs w:val="28"/>
        </w:rPr>
      </w:pPr>
      <w:r>
        <w:rPr>
          <w:rFonts w:hint="eastAsia" w:ascii="仿宋" w:hAnsi="仿宋" w:eastAsia="仿宋"/>
          <w:sz w:val="24"/>
          <w:szCs w:val="28"/>
        </w:rPr>
        <w:t>本项目不接受联合体投标。</w:t>
      </w:r>
    </w:p>
    <w:p w14:paraId="05ABC9A1">
      <w:pPr>
        <w:spacing w:line="360" w:lineRule="auto"/>
        <w:rPr>
          <w:rFonts w:ascii="仿宋" w:hAnsi="仿宋" w:eastAsia="仿宋"/>
          <w:b/>
          <w:bCs/>
          <w:sz w:val="24"/>
          <w:szCs w:val="28"/>
        </w:rPr>
      </w:pPr>
      <w:r>
        <w:rPr>
          <w:rFonts w:hint="eastAsia" w:ascii="仿宋" w:hAnsi="仿宋" w:eastAsia="仿宋"/>
          <w:b/>
          <w:bCs/>
          <w:sz w:val="24"/>
          <w:szCs w:val="28"/>
        </w:rPr>
        <w:t>四、服务要求</w:t>
      </w:r>
    </w:p>
    <w:p w14:paraId="2A62CF14">
      <w:pPr>
        <w:spacing w:line="360" w:lineRule="auto"/>
        <w:rPr>
          <w:rFonts w:ascii="仿宋" w:hAnsi="仿宋" w:eastAsia="仿宋"/>
          <w:sz w:val="24"/>
          <w:szCs w:val="28"/>
        </w:rPr>
      </w:pPr>
      <w:r>
        <w:rPr>
          <w:rFonts w:hint="eastAsia" w:ascii="仿宋" w:hAnsi="仿宋" w:eastAsia="仿宋"/>
          <w:sz w:val="24"/>
          <w:szCs w:val="28"/>
        </w:rPr>
        <w:t>1、服务内容、要求、质量</w:t>
      </w:r>
    </w:p>
    <w:p w14:paraId="30575687">
      <w:pPr>
        <w:spacing w:line="360" w:lineRule="auto"/>
        <w:ind w:leftChars="100"/>
        <w:rPr>
          <w:rFonts w:ascii="仿宋" w:hAnsi="仿宋" w:eastAsia="仿宋" w:cs="仿宋"/>
          <w:sz w:val="24"/>
          <w:szCs w:val="24"/>
        </w:rPr>
      </w:pPr>
      <w:r>
        <w:rPr>
          <w:rFonts w:hint="eastAsia" w:ascii="仿宋" w:hAnsi="仿宋" w:eastAsia="仿宋" w:cs="仿宋"/>
          <w:sz w:val="24"/>
          <w:szCs w:val="24"/>
        </w:rPr>
        <w:t>1.1 为国际商务、跨境电商</w:t>
      </w:r>
      <w:r>
        <w:rPr>
          <w:rFonts w:hint="eastAsia" w:ascii="仿宋" w:hAnsi="仿宋" w:eastAsia="仿宋" w:cs="仿宋"/>
          <w:sz w:val="24"/>
          <w:szCs w:val="24"/>
          <w:lang w:val="en-US" w:eastAsia="zh-CN"/>
        </w:rPr>
        <w:t>等专业</w:t>
      </w:r>
      <w:r>
        <w:rPr>
          <w:rFonts w:hint="eastAsia" w:ascii="仿宋" w:hAnsi="仿宋" w:eastAsia="仿宋" w:cs="仿宋"/>
          <w:sz w:val="24"/>
          <w:szCs w:val="24"/>
        </w:rPr>
        <w:t>学生设计9周实践课程</w:t>
      </w:r>
      <w:r>
        <w:rPr>
          <w:rFonts w:hint="eastAsia" w:ascii="仿宋" w:hAnsi="仿宋" w:eastAsia="仿宋" w:cs="仿宋"/>
          <w:sz w:val="24"/>
          <w:szCs w:val="24"/>
          <w:lang w:val="en-US" w:eastAsia="zh-CN"/>
        </w:rPr>
        <w:t>并实施（1班次）</w:t>
      </w:r>
      <w:r>
        <w:rPr>
          <w:rFonts w:hint="eastAsia" w:ascii="仿宋" w:hAnsi="仿宋" w:eastAsia="仿宋" w:cs="仿宋"/>
          <w:sz w:val="24"/>
          <w:szCs w:val="24"/>
        </w:rPr>
        <w:t>，课程</w:t>
      </w:r>
      <w:r>
        <w:rPr>
          <w:rFonts w:hint="eastAsia" w:ascii="仿宋" w:hAnsi="仿宋" w:eastAsia="仿宋" w:cs="仿宋"/>
          <w:sz w:val="24"/>
          <w:szCs w:val="24"/>
          <w:lang w:val="en-US" w:eastAsia="zh-CN"/>
        </w:rPr>
        <w:t>应</w:t>
      </w:r>
      <w:r>
        <w:rPr>
          <w:rFonts w:hint="eastAsia" w:ascii="仿宋" w:hAnsi="仿宋" w:eastAsia="仿宋" w:cs="仿宋"/>
          <w:sz w:val="24"/>
          <w:szCs w:val="24"/>
        </w:rPr>
        <w:t>将国际商务、跨境电商</w:t>
      </w:r>
      <w:r>
        <w:rPr>
          <w:rFonts w:hint="eastAsia" w:ascii="仿宋" w:hAnsi="仿宋" w:eastAsia="仿宋" w:cs="仿宋"/>
          <w:sz w:val="24"/>
          <w:szCs w:val="24"/>
          <w:lang w:val="en-US" w:eastAsia="zh-CN"/>
        </w:rPr>
        <w:t>等</w:t>
      </w:r>
      <w:r>
        <w:rPr>
          <w:rFonts w:hint="eastAsia" w:ascii="仿宋" w:hAnsi="仿宋" w:eastAsia="仿宋" w:cs="仿宋"/>
          <w:sz w:val="24"/>
          <w:szCs w:val="24"/>
        </w:rPr>
        <w:t>专业知识与TikTok出海短视频营销</w:t>
      </w:r>
      <w:r>
        <w:rPr>
          <w:rFonts w:hint="eastAsia" w:ascii="仿宋" w:hAnsi="仿宋" w:eastAsia="仿宋" w:cs="仿宋"/>
          <w:sz w:val="24"/>
          <w:szCs w:val="24"/>
          <w:lang w:val="en-US" w:eastAsia="zh-CN"/>
        </w:rPr>
        <w:t>等</w:t>
      </w:r>
      <w:r>
        <w:rPr>
          <w:rFonts w:hint="eastAsia" w:ascii="仿宋" w:hAnsi="仿宋" w:eastAsia="仿宋" w:cs="仿宋"/>
          <w:sz w:val="24"/>
          <w:szCs w:val="24"/>
        </w:rPr>
        <w:t>实战深度融合。课程全程采用"边学边做"模式，学生通过参与公司真实业务项目，系统掌握外贸B2B短视频内容创作、社媒账号运营管理与海外客户开发跟进</w:t>
      </w:r>
      <w:r>
        <w:rPr>
          <w:rFonts w:hint="eastAsia" w:ascii="仿宋" w:hAnsi="仿宋" w:eastAsia="仿宋" w:cs="仿宋"/>
          <w:sz w:val="24"/>
          <w:szCs w:val="24"/>
          <w:lang w:val="en-US" w:eastAsia="zh-CN"/>
        </w:rPr>
        <w:t>等</w:t>
      </w:r>
      <w:r>
        <w:rPr>
          <w:rFonts w:hint="eastAsia" w:ascii="仿宋" w:hAnsi="仿宋" w:eastAsia="仿宋" w:cs="仿宋"/>
          <w:sz w:val="24"/>
          <w:szCs w:val="24"/>
        </w:rPr>
        <w:t>三大核心能力。</w:t>
      </w:r>
    </w:p>
    <w:p w14:paraId="54B30B91">
      <w:pPr>
        <w:spacing w:line="360" w:lineRule="auto"/>
        <w:ind w:leftChars="100"/>
        <w:rPr>
          <w:rFonts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sz w:val="24"/>
          <w:szCs w:val="24"/>
          <w:lang w:val="en-US" w:eastAsia="zh-CN"/>
        </w:rPr>
        <w:t xml:space="preserve"> </w:t>
      </w:r>
      <w:r>
        <w:rPr>
          <w:rFonts w:hint="eastAsia" w:ascii="仿宋" w:hAnsi="仿宋" w:eastAsia="仿宋"/>
          <w:sz w:val="24"/>
          <w:szCs w:val="28"/>
        </w:rPr>
        <w:t>课程</w:t>
      </w:r>
      <w:r>
        <w:rPr>
          <w:rFonts w:hint="eastAsia" w:ascii="仿宋" w:hAnsi="仿宋" w:eastAsia="仿宋" w:cs="仿宋"/>
          <w:sz w:val="24"/>
          <w:szCs w:val="24"/>
        </w:rPr>
        <w:t>实践</w:t>
      </w:r>
      <w:r>
        <w:rPr>
          <w:rFonts w:hint="eastAsia" w:ascii="仿宋" w:hAnsi="仿宋" w:eastAsia="仿宋" w:cs="仿宋"/>
          <w:sz w:val="24"/>
          <w:szCs w:val="24"/>
          <w:lang w:val="en-US" w:eastAsia="zh-CN"/>
        </w:rPr>
        <w:t>应</w:t>
      </w:r>
      <w:r>
        <w:rPr>
          <w:rFonts w:hint="eastAsia" w:ascii="仿宋" w:hAnsi="仿宋" w:eastAsia="仿宋" w:cs="仿宋"/>
          <w:sz w:val="24"/>
          <w:szCs w:val="24"/>
        </w:rPr>
        <w:t>由浅入深，第1-2周完成基础认知与入门，第3-4周完成内容创作实操，第5-6周完成账号运营深化，第7-8周完成客户开发与跟单，第9周完成综合项目实战与结业汇报，</w:t>
      </w:r>
      <w:r>
        <w:rPr>
          <w:rFonts w:hint="eastAsia" w:ascii="仿宋" w:hAnsi="仿宋" w:eastAsia="仿宋" w:cs="仿宋"/>
          <w:sz w:val="24"/>
          <w:szCs w:val="24"/>
          <w:lang w:val="en-US" w:eastAsia="zh-CN"/>
        </w:rPr>
        <w:t>内容应覆盖</w:t>
      </w:r>
      <w:r>
        <w:rPr>
          <w:rFonts w:hint="eastAsia" w:ascii="仿宋" w:hAnsi="仿宋" w:eastAsia="仿宋" w:cs="仿宋"/>
          <w:sz w:val="24"/>
          <w:szCs w:val="24"/>
        </w:rPr>
        <w:t>主要三大主线，</w:t>
      </w:r>
      <w:r>
        <w:rPr>
          <w:rFonts w:hint="eastAsia" w:ascii="仿宋" w:hAnsi="仿宋" w:eastAsia="仿宋" w:cs="仿宋"/>
          <w:sz w:val="24"/>
          <w:szCs w:val="24"/>
          <w:lang w:val="en-US" w:eastAsia="zh-CN"/>
        </w:rPr>
        <w:t>包括但不完全限于</w:t>
      </w:r>
      <w:r>
        <w:rPr>
          <w:rFonts w:hint="eastAsia" w:ascii="仿宋" w:hAnsi="仿宋" w:eastAsia="仿宋" w:cs="仿宋"/>
          <w:sz w:val="24"/>
          <w:szCs w:val="24"/>
        </w:rPr>
        <w:t>1）内容生产 2）账号运营 3）客户开发。</w:t>
      </w:r>
    </w:p>
    <w:p w14:paraId="1523E2F1">
      <w:pPr>
        <w:spacing w:line="360" w:lineRule="auto"/>
        <w:rPr>
          <w:rFonts w:ascii="仿宋" w:hAnsi="仿宋" w:eastAsia="仿宋"/>
          <w:sz w:val="24"/>
          <w:szCs w:val="28"/>
        </w:rPr>
      </w:pPr>
      <w:r>
        <w:rPr>
          <w:rFonts w:hint="eastAsia" w:ascii="仿宋" w:hAnsi="仿宋" w:eastAsia="仿宋"/>
          <w:sz w:val="24"/>
          <w:szCs w:val="28"/>
        </w:rPr>
        <w:t>2、交付成果</w:t>
      </w:r>
    </w:p>
    <w:p w14:paraId="01E7A4CE">
      <w:pPr>
        <w:spacing w:line="360" w:lineRule="auto"/>
        <w:ind w:leftChars="100"/>
        <w:rPr>
          <w:rFonts w:hint="eastAsia" w:ascii="仿宋" w:hAnsi="仿宋" w:eastAsia="仿宋"/>
          <w:sz w:val="24"/>
          <w:szCs w:val="28"/>
        </w:rPr>
      </w:pPr>
      <w:r>
        <w:rPr>
          <w:rFonts w:hint="eastAsia" w:ascii="仿宋" w:hAnsi="仿宋" w:eastAsia="仿宋"/>
          <w:sz w:val="24"/>
          <w:szCs w:val="28"/>
        </w:rPr>
        <w:t>2.1 实践教学实施方案</w:t>
      </w:r>
      <w:r>
        <w:rPr>
          <w:rFonts w:hint="eastAsia" w:ascii="仿宋" w:hAnsi="仿宋" w:eastAsia="仿宋"/>
          <w:sz w:val="24"/>
          <w:szCs w:val="28"/>
          <w:lang w:val="en-US" w:eastAsia="zh-CN"/>
        </w:rPr>
        <w:t>含内容设计</w:t>
      </w:r>
      <w:r>
        <w:rPr>
          <w:rFonts w:hint="eastAsia" w:ascii="仿宋" w:hAnsi="仿宋" w:eastAsia="仿宋"/>
          <w:sz w:val="24"/>
          <w:szCs w:val="28"/>
        </w:rPr>
        <w:t>；</w:t>
      </w:r>
    </w:p>
    <w:p w14:paraId="3B6B42C5">
      <w:pPr>
        <w:spacing w:line="360" w:lineRule="auto"/>
        <w:ind w:leftChars="100"/>
        <w:rPr>
          <w:rFonts w:ascii="仿宋" w:hAnsi="仿宋" w:eastAsia="仿宋"/>
          <w:sz w:val="24"/>
          <w:szCs w:val="28"/>
        </w:rPr>
      </w:pPr>
      <w:r>
        <w:rPr>
          <w:rFonts w:hint="eastAsia" w:ascii="仿宋" w:hAnsi="仿宋" w:eastAsia="仿宋"/>
          <w:sz w:val="24"/>
          <w:szCs w:val="28"/>
        </w:rPr>
        <w:t>2.2 不低于9周的实践课程教学；</w:t>
      </w:r>
    </w:p>
    <w:p w14:paraId="3B1A774E">
      <w:pPr>
        <w:spacing w:line="360" w:lineRule="auto"/>
        <w:ind w:leftChars="100"/>
        <w:rPr>
          <w:rFonts w:ascii="仿宋" w:hAnsi="仿宋" w:eastAsia="仿宋"/>
          <w:sz w:val="24"/>
          <w:szCs w:val="28"/>
        </w:rPr>
      </w:pPr>
      <w:r>
        <w:rPr>
          <w:rFonts w:hint="eastAsia" w:ascii="仿宋" w:hAnsi="仿宋" w:eastAsia="仿宋"/>
          <w:sz w:val="24"/>
          <w:szCs w:val="28"/>
        </w:rPr>
        <w:t>2.</w:t>
      </w:r>
      <w:r>
        <w:rPr>
          <w:rFonts w:hint="eastAsia" w:ascii="仿宋" w:hAnsi="仿宋" w:eastAsia="仿宋"/>
          <w:sz w:val="24"/>
          <w:szCs w:val="28"/>
          <w:lang w:val="en-US" w:eastAsia="zh-CN"/>
        </w:rPr>
        <w:t>3</w:t>
      </w:r>
      <w:r>
        <w:rPr>
          <w:rFonts w:hint="eastAsia" w:ascii="仿宋" w:hAnsi="仿宋" w:eastAsia="仿宋"/>
          <w:sz w:val="24"/>
          <w:szCs w:val="28"/>
        </w:rPr>
        <w:t xml:space="preserve"> 学生实践</w:t>
      </w:r>
      <w:r>
        <w:rPr>
          <w:rFonts w:hint="eastAsia" w:ascii="仿宋" w:hAnsi="仿宋" w:eastAsia="仿宋"/>
          <w:sz w:val="24"/>
          <w:szCs w:val="28"/>
          <w:lang w:val="en-US" w:eastAsia="zh-CN"/>
        </w:rPr>
        <w:t>学习</w:t>
      </w:r>
      <w:r>
        <w:rPr>
          <w:rFonts w:hint="eastAsia" w:ascii="仿宋" w:hAnsi="仿宋" w:eastAsia="仿宋"/>
          <w:sz w:val="24"/>
          <w:szCs w:val="28"/>
        </w:rPr>
        <w:t>总结报告1份、优秀案例1份；</w:t>
      </w:r>
    </w:p>
    <w:p w14:paraId="17E3158F">
      <w:pPr>
        <w:spacing w:line="360" w:lineRule="auto"/>
        <w:ind w:leftChars="100"/>
        <w:rPr>
          <w:rFonts w:ascii="仿宋" w:hAnsi="仿宋" w:eastAsia="仿宋"/>
          <w:sz w:val="24"/>
          <w:szCs w:val="28"/>
        </w:rPr>
      </w:pPr>
      <w:r>
        <w:rPr>
          <w:rFonts w:hint="eastAsia" w:ascii="仿宋" w:hAnsi="仿宋" w:eastAsia="仿宋"/>
          <w:sz w:val="24"/>
          <w:szCs w:val="28"/>
        </w:rPr>
        <w:t>2.</w:t>
      </w:r>
      <w:r>
        <w:rPr>
          <w:rFonts w:hint="eastAsia" w:ascii="仿宋" w:hAnsi="仿宋" w:eastAsia="仿宋"/>
          <w:sz w:val="24"/>
          <w:szCs w:val="28"/>
          <w:lang w:val="en-US" w:eastAsia="zh-CN"/>
        </w:rPr>
        <w:t>4</w:t>
      </w:r>
      <w:r>
        <w:rPr>
          <w:rFonts w:hint="eastAsia" w:ascii="仿宋" w:hAnsi="仿宋" w:eastAsia="仿宋"/>
          <w:sz w:val="24"/>
          <w:szCs w:val="28"/>
        </w:rPr>
        <w:t xml:space="preserve"> 课程总结汇报专场1场。</w:t>
      </w:r>
    </w:p>
    <w:p w14:paraId="55AFDF25">
      <w:pPr>
        <w:spacing w:line="360" w:lineRule="auto"/>
        <w:rPr>
          <w:rFonts w:ascii="仿宋" w:hAnsi="仿宋" w:eastAsia="仿宋"/>
          <w:b/>
          <w:bCs/>
          <w:sz w:val="24"/>
          <w:szCs w:val="28"/>
        </w:rPr>
      </w:pPr>
      <w:r>
        <w:rPr>
          <w:rFonts w:hint="eastAsia" w:ascii="仿宋" w:hAnsi="仿宋" w:eastAsia="仿宋"/>
          <w:b/>
          <w:bCs/>
          <w:sz w:val="24"/>
          <w:szCs w:val="28"/>
        </w:rPr>
        <w:t>五、其它要求</w:t>
      </w:r>
    </w:p>
    <w:p w14:paraId="1218E8F5">
      <w:pPr>
        <w:spacing w:line="360" w:lineRule="auto"/>
        <w:rPr>
          <w:rFonts w:hint="eastAsia" w:ascii="仿宋" w:hAnsi="仿宋" w:eastAsia="仿宋"/>
          <w:sz w:val="24"/>
          <w:szCs w:val="28"/>
        </w:rPr>
      </w:pPr>
      <w:r>
        <w:rPr>
          <w:rFonts w:hint="eastAsia" w:ascii="仿宋" w:hAnsi="仿宋" w:eastAsia="仿宋"/>
          <w:sz w:val="24"/>
          <w:szCs w:val="28"/>
        </w:rPr>
        <w:t>1</w:t>
      </w:r>
      <w:r>
        <w:rPr>
          <w:rFonts w:hint="eastAsia" w:ascii="仿宋" w:hAnsi="仿宋" w:eastAsia="仿宋"/>
          <w:sz w:val="24"/>
          <w:szCs w:val="28"/>
          <w:lang w:eastAsia="zh-CN"/>
        </w:rPr>
        <w:t>、</w:t>
      </w:r>
      <w:r>
        <w:rPr>
          <w:rFonts w:hint="eastAsia" w:ascii="仿宋" w:hAnsi="仿宋" w:eastAsia="仿宋"/>
          <w:sz w:val="24"/>
          <w:szCs w:val="28"/>
        </w:rPr>
        <w:t>服务期限及地点</w:t>
      </w:r>
    </w:p>
    <w:p w14:paraId="073B41EB">
      <w:pPr>
        <w:spacing w:line="360" w:lineRule="auto"/>
        <w:rPr>
          <w:rFonts w:hint="eastAsia" w:ascii="仿宋" w:hAnsi="仿宋" w:eastAsia="仿宋"/>
          <w:sz w:val="24"/>
          <w:szCs w:val="28"/>
          <w:lang w:eastAsia="zh-CN"/>
        </w:rPr>
      </w:pPr>
      <w:r>
        <w:rPr>
          <w:rFonts w:hint="eastAsia" w:ascii="仿宋" w:hAnsi="仿宋" w:eastAsia="仿宋"/>
          <w:sz w:val="24"/>
          <w:szCs w:val="28"/>
          <w:lang w:val="en-US" w:eastAsia="zh-CN"/>
        </w:rPr>
        <w:t>服务期限：</w:t>
      </w:r>
      <w:r>
        <w:rPr>
          <w:rFonts w:hint="eastAsia" w:ascii="仿宋" w:hAnsi="仿宋" w:eastAsia="仿宋"/>
          <w:sz w:val="24"/>
          <w:szCs w:val="28"/>
        </w:rPr>
        <w:t>合同签订之日起至202</w:t>
      </w:r>
      <w:r>
        <w:rPr>
          <w:rFonts w:hint="eastAsia" w:ascii="仿宋" w:hAnsi="仿宋" w:eastAsia="仿宋"/>
          <w:sz w:val="24"/>
          <w:szCs w:val="28"/>
          <w:lang w:val="en-US" w:eastAsia="zh-CN"/>
        </w:rPr>
        <w:t>6</w:t>
      </w:r>
      <w:r>
        <w:rPr>
          <w:rFonts w:hint="eastAsia" w:ascii="仿宋" w:hAnsi="仿宋" w:eastAsia="仿宋"/>
          <w:sz w:val="24"/>
          <w:szCs w:val="28"/>
        </w:rPr>
        <w:t>年12月31日（不低于45天）</w:t>
      </w:r>
      <w:r>
        <w:rPr>
          <w:rFonts w:hint="eastAsia" w:ascii="仿宋" w:hAnsi="仿宋" w:eastAsia="仿宋"/>
          <w:sz w:val="24"/>
          <w:szCs w:val="28"/>
          <w:lang w:eastAsia="zh-CN"/>
        </w:rPr>
        <w:t>；</w:t>
      </w:r>
    </w:p>
    <w:p w14:paraId="57106AE7">
      <w:pPr>
        <w:spacing w:line="360" w:lineRule="auto"/>
        <w:rPr>
          <w:rFonts w:ascii="仿宋" w:hAnsi="仿宋" w:eastAsia="仿宋"/>
          <w:sz w:val="24"/>
          <w:szCs w:val="28"/>
        </w:rPr>
      </w:pPr>
      <w:r>
        <w:rPr>
          <w:rFonts w:hint="eastAsia" w:ascii="仿宋" w:hAnsi="仿宋" w:eastAsia="仿宋"/>
          <w:sz w:val="24"/>
          <w:szCs w:val="28"/>
          <w:lang w:val="en-US" w:eastAsia="zh-CN"/>
        </w:rPr>
        <w:t>服务地点：</w:t>
      </w:r>
      <w:r>
        <w:rPr>
          <w:rFonts w:hint="eastAsia" w:ascii="仿宋" w:hAnsi="仿宋" w:eastAsia="仿宋"/>
          <w:sz w:val="24"/>
          <w:szCs w:val="28"/>
        </w:rPr>
        <w:t>校内或校外实践基地。</w:t>
      </w:r>
    </w:p>
    <w:p w14:paraId="2BE1FF4E">
      <w:pPr>
        <w:spacing w:line="360" w:lineRule="auto"/>
        <w:rPr>
          <w:rFonts w:ascii="仿宋" w:hAnsi="仿宋" w:eastAsia="仿宋"/>
          <w:sz w:val="24"/>
          <w:szCs w:val="28"/>
        </w:rPr>
      </w:pPr>
      <w:r>
        <w:rPr>
          <w:rFonts w:hint="eastAsia" w:ascii="仿宋" w:hAnsi="仿宋" w:eastAsia="仿宋"/>
          <w:sz w:val="24"/>
          <w:szCs w:val="28"/>
        </w:rPr>
        <w:t>2、付款方式</w:t>
      </w:r>
    </w:p>
    <w:p w14:paraId="180C0F95">
      <w:pPr>
        <w:spacing w:line="360" w:lineRule="auto"/>
        <w:rPr>
          <w:rFonts w:ascii="仿宋" w:hAnsi="仿宋" w:eastAsia="仿宋"/>
          <w:sz w:val="24"/>
          <w:szCs w:val="28"/>
        </w:rPr>
      </w:pPr>
      <w:r>
        <w:rPr>
          <w:rFonts w:hint="eastAsia" w:ascii="仿宋" w:hAnsi="仿宋" w:eastAsia="仿宋"/>
          <w:sz w:val="24"/>
          <w:szCs w:val="28"/>
        </w:rPr>
        <w:t>合同正式生效后10个工作日内，支付合同总价的</w:t>
      </w:r>
      <w:r>
        <w:rPr>
          <w:rFonts w:hint="eastAsia" w:ascii="仿宋" w:hAnsi="仿宋" w:eastAsia="仿宋"/>
          <w:sz w:val="24"/>
          <w:szCs w:val="28"/>
          <w:u w:val="single"/>
        </w:rPr>
        <w:t>50</w:t>
      </w:r>
      <w:r>
        <w:rPr>
          <w:rFonts w:hint="eastAsia" w:ascii="仿宋" w:hAnsi="仿宋" w:eastAsia="仿宋"/>
          <w:sz w:val="24"/>
          <w:szCs w:val="28"/>
        </w:rPr>
        <w:t>%；验收通过后10个工作日内，支付合同总价的</w:t>
      </w:r>
      <w:r>
        <w:rPr>
          <w:rFonts w:hint="eastAsia" w:ascii="仿宋" w:hAnsi="仿宋" w:eastAsia="仿宋"/>
          <w:sz w:val="24"/>
          <w:szCs w:val="28"/>
          <w:u w:val="single"/>
        </w:rPr>
        <w:t>50</w:t>
      </w:r>
      <w:r>
        <w:rPr>
          <w:rFonts w:hint="eastAsia" w:ascii="仿宋" w:hAnsi="仿宋" w:eastAsia="仿宋"/>
          <w:sz w:val="24"/>
          <w:szCs w:val="28"/>
        </w:rPr>
        <w:t>%。</w:t>
      </w:r>
    </w:p>
    <w:p w14:paraId="21BE7C1B">
      <w:pPr>
        <w:numPr>
          <w:ilvl w:val="0"/>
          <w:numId w:val="1"/>
        </w:numPr>
        <w:spacing w:line="360" w:lineRule="auto"/>
        <w:rPr>
          <w:rFonts w:ascii="仿宋" w:hAnsi="仿宋" w:eastAsia="仿宋"/>
          <w:sz w:val="24"/>
          <w:szCs w:val="28"/>
        </w:rPr>
      </w:pPr>
      <w:r>
        <w:rPr>
          <w:rFonts w:hint="eastAsia" w:ascii="仿宋" w:hAnsi="仿宋" w:eastAsia="仿宋"/>
          <w:sz w:val="24"/>
          <w:szCs w:val="28"/>
        </w:rPr>
        <w:t>验收要求或评价标准</w:t>
      </w:r>
    </w:p>
    <w:p w14:paraId="752F6936">
      <w:pPr>
        <w:spacing w:line="360" w:lineRule="auto"/>
        <w:rPr>
          <w:rFonts w:ascii="仿宋" w:hAnsi="仿宋" w:eastAsia="仿宋"/>
          <w:sz w:val="24"/>
          <w:szCs w:val="28"/>
        </w:rPr>
      </w:pPr>
      <w:r>
        <w:rPr>
          <w:rFonts w:hint="eastAsia" w:ascii="仿宋" w:hAnsi="仿宋" w:eastAsia="仿宋"/>
          <w:sz w:val="24"/>
          <w:szCs w:val="28"/>
        </w:rPr>
        <w:t>由学校组织按照交付成果进行逐项验收。</w:t>
      </w:r>
    </w:p>
    <w:p w14:paraId="23ABDB65">
      <w:pPr>
        <w:numPr>
          <w:ilvl w:val="0"/>
          <w:numId w:val="1"/>
        </w:numPr>
        <w:spacing w:line="360" w:lineRule="auto"/>
        <w:rPr>
          <w:rFonts w:ascii="仿宋" w:hAnsi="仿宋" w:eastAsia="仿宋"/>
          <w:sz w:val="24"/>
          <w:szCs w:val="28"/>
        </w:rPr>
      </w:pPr>
      <w:bookmarkStart w:id="0" w:name="OLE_LINK5"/>
      <w:r>
        <w:rPr>
          <w:rFonts w:hint="eastAsia" w:ascii="仿宋" w:hAnsi="仿宋" w:eastAsia="仿宋"/>
          <w:sz w:val="24"/>
          <w:szCs w:val="28"/>
        </w:rPr>
        <w:t>其它</w:t>
      </w:r>
    </w:p>
    <w:p w14:paraId="488192FF">
      <w:pPr>
        <w:spacing w:line="360" w:lineRule="auto"/>
        <w:rPr>
          <w:rFonts w:hint="eastAsia" w:ascii="仿宋" w:hAnsi="仿宋" w:eastAsia="仿宋"/>
          <w:sz w:val="24"/>
          <w:szCs w:val="28"/>
          <w:lang w:eastAsia="zh-CN"/>
        </w:rPr>
      </w:pPr>
      <w:r>
        <w:rPr>
          <w:rFonts w:hint="eastAsia" w:ascii="仿宋" w:hAnsi="仿宋" w:eastAsia="仿宋"/>
          <w:sz w:val="24"/>
          <w:szCs w:val="28"/>
        </w:rPr>
        <w:t>提供一份具体实施方案及报价</w:t>
      </w:r>
      <w:r>
        <w:rPr>
          <w:rFonts w:hint="eastAsia" w:ascii="仿宋" w:hAnsi="仿宋" w:eastAsia="仿宋"/>
          <w:sz w:val="24"/>
          <w:szCs w:val="28"/>
          <w:lang w:eastAsia="zh-CN"/>
        </w:rPr>
        <w:t>。</w:t>
      </w:r>
    </w:p>
    <w:bookmarkEnd w:id="0"/>
    <w:p w14:paraId="6E8E91DC">
      <w:pPr>
        <w:spacing w:line="360" w:lineRule="auto"/>
        <w:rPr>
          <w:rFonts w:ascii="仿宋" w:hAnsi="仿宋" w:eastAsia="仿宋"/>
          <w:sz w:val="24"/>
          <w:szCs w:val="28"/>
        </w:rPr>
      </w:pPr>
      <w:r>
        <w:rPr>
          <w:rFonts w:hint="eastAsia" w:ascii="仿宋" w:hAnsi="仿宋" w:eastAsia="仿宋"/>
          <w:b/>
          <w:bCs/>
          <w:sz w:val="24"/>
          <w:szCs w:val="28"/>
        </w:rPr>
        <w:t>六、报价文件要求</w:t>
      </w:r>
    </w:p>
    <w:p w14:paraId="6E7E8FB1">
      <w:pPr>
        <w:widowControl/>
        <w:spacing w:line="360" w:lineRule="auto"/>
        <w:jc w:val="left"/>
        <w:rPr>
          <w:rFonts w:ascii="仿宋" w:hAnsi="仿宋" w:eastAsia="仿宋"/>
          <w:sz w:val="24"/>
          <w:szCs w:val="28"/>
        </w:rPr>
      </w:pPr>
      <w:r>
        <w:rPr>
          <w:rFonts w:hint="eastAsia" w:ascii="仿宋" w:hAnsi="仿宋" w:eastAsia="仿宋"/>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sz w:val="24"/>
          <w:szCs w:val="28"/>
        </w:rPr>
      </w:pPr>
      <w:r>
        <w:rPr>
          <w:rFonts w:hint="eastAsia" w:ascii="仿宋" w:hAnsi="仿宋" w:eastAsia="仿宋"/>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sz w:val="24"/>
          <w:szCs w:val="28"/>
        </w:rPr>
      </w:pPr>
      <w:r>
        <w:rPr>
          <w:rFonts w:hint="eastAsia" w:ascii="仿宋" w:hAnsi="仿宋" w:eastAsia="仿宋"/>
          <w:sz w:val="24"/>
          <w:szCs w:val="28"/>
        </w:rPr>
        <w:t>3、报价单位提交的所有资质证明资料不得出现伪造痕迹，一经发现，报价无效。</w:t>
      </w:r>
    </w:p>
    <w:p w14:paraId="480F24FF">
      <w:pPr>
        <w:widowControl/>
        <w:spacing w:line="360" w:lineRule="auto"/>
        <w:jc w:val="left"/>
        <w:rPr>
          <w:rFonts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sz w:val="24"/>
          <w:szCs w:val="28"/>
        </w:rPr>
      </w:pPr>
      <w:r>
        <w:rPr>
          <w:rFonts w:hint="eastAsia" w:ascii="仿宋" w:hAnsi="仿宋" w:eastAsia="仿宋"/>
          <w:sz w:val="24"/>
          <w:szCs w:val="28"/>
        </w:rPr>
        <w:t>6、报价货币，均应以人民币元报价。</w:t>
      </w:r>
      <w:r>
        <w:rPr>
          <w:rFonts w:hint="eastAsia" w:ascii="仿宋" w:hAnsi="仿宋" w:eastAsia="仿宋"/>
          <w:sz w:val="24"/>
          <w:szCs w:val="28"/>
        </w:rPr>
        <w:br w:type="page"/>
      </w:r>
    </w:p>
    <w:p w14:paraId="6C70E7C0">
      <w:pPr>
        <w:spacing w:line="440" w:lineRule="exact"/>
        <w:rPr>
          <w:sz w:val="24"/>
          <w:szCs w:val="28"/>
        </w:rPr>
      </w:pPr>
      <w:bookmarkStart w:id="1"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2"/>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2"/>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2"/>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2"/>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3107E143">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5FD8F339">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3"/>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3"/>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607DB7D7">
      <w:pPr>
        <w:spacing w:line="440" w:lineRule="exact"/>
        <w:rPr>
          <w:sz w:val="24"/>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b/>
          <w:bCs/>
          <w:sz w:val="24"/>
          <w:szCs w:val="28"/>
        </w:rPr>
      </w:pPr>
      <w:bookmarkStart w:id="2" w:name="OLE_LINK3"/>
      <w:r>
        <w:rPr>
          <w:rFonts w:hint="eastAsia"/>
          <w:b/>
          <w:sz w:val="24"/>
          <w:szCs w:val="28"/>
        </w:rPr>
        <w:t>近三年项目业绩表</w:t>
      </w:r>
      <w:r>
        <w:rPr>
          <w:rFonts w:hint="eastAsia"/>
          <w:b/>
          <w:bCs/>
          <w:sz w:val="24"/>
          <w:szCs w:val="28"/>
        </w:rPr>
        <w:t>（格式可拟定，业绩表内的项目须提供配套合同复印件）</w:t>
      </w:r>
      <w:bookmarkEnd w:id="2"/>
    </w:p>
    <w:p w14:paraId="4BA04AD8">
      <w:pPr>
        <w:spacing w:line="440" w:lineRule="exact"/>
        <w:jc w:val="center"/>
        <w:rPr>
          <w:sz w:val="24"/>
          <w:szCs w:val="28"/>
        </w:rPr>
      </w:pPr>
    </w:p>
    <w:p w14:paraId="3E1D403C">
      <w:pPr>
        <w:spacing w:line="440" w:lineRule="exact"/>
        <w:rPr>
          <w:bCs/>
          <w:sz w:val="24"/>
          <w:szCs w:val="28"/>
        </w:rPr>
      </w:pPr>
    </w:p>
    <w:tbl>
      <w:tblPr>
        <w:tblStyle w:val="15"/>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71BC1DE3">
      <w:pPr>
        <w:spacing w:line="440" w:lineRule="exact"/>
        <w:rPr>
          <w:b/>
          <w:bCs/>
          <w:sz w:val="24"/>
          <w:szCs w:val="28"/>
        </w:rPr>
        <w:sectPr>
          <w:pgSz w:w="11906" w:h="16838"/>
          <w:pgMar w:top="1247" w:right="1474" w:bottom="1247" w:left="1474" w:header="851" w:footer="992" w:gutter="0"/>
          <w:pgBorders>
            <w:top w:val="none" w:sz="0" w:space="0"/>
            <w:left w:val="none" w:sz="0" w:space="0"/>
            <w:bottom w:val="none" w:sz="0" w:space="0"/>
            <w:right w:val="none" w:sz="0" w:space="0"/>
          </w:pgBorders>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1"/>
    </w:p>
    <w:p w14:paraId="26ED2112">
      <w:pPr>
        <w:keepNext/>
        <w:keepLines w:val="0"/>
        <w:pageBreakBefore/>
        <w:widowControl w:val="0"/>
        <w:kinsoku/>
        <w:wordWrap/>
        <w:overflowPunct/>
        <w:topLinePunct w:val="0"/>
        <w:autoSpaceDE/>
        <w:autoSpaceDN/>
        <w:bidi w:val="0"/>
        <w:adjustRightInd/>
        <w:snapToGrid/>
        <w:spacing w:line="440" w:lineRule="exact"/>
        <w:textAlignment w:val="auto"/>
        <w:rPr>
          <w:rFonts w:hint="eastAsia" w:eastAsiaTheme="minorEastAsia"/>
          <w:sz w:val="24"/>
          <w:szCs w:val="28"/>
          <w:lang w:val="en-US" w:eastAsia="zh-CN"/>
        </w:rPr>
      </w:pPr>
      <w:r>
        <w:rPr>
          <w:rFonts w:hint="eastAsia"/>
          <w:sz w:val="24"/>
          <w:szCs w:val="28"/>
        </w:rPr>
        <w:t>附件</w:t>
      </w:r>
      <w:r>
        <w:rPr>
          <w:rFonts w:hint="eastAsia"/>
          <w:sz w:val="24"/>
          <w:szCs w:val="28"/>
          <w:lang w:val="en-US" w:eastAsia="zh-CN"/>
        </w:rPr>
        <w:t>8</w:t>
      </w:r>
    </w:p>
    <w:p w14:paraId="03CE6656">
      <w:pPr>
        <w:keepNext/>
        <w:keepLines w:val="0"/>
        <w:pageBreakBefore w:val="0"/>
        <w:widowControl w:val="0"/>
        <w:kinsoku/>
        <w:wordWrap/>
        <w:overflowPunct/>
        <w:topLinePunct w:val="0"/>
        <w:autoSpaceDE/>
        <w:autoSpaceDN/>
        <w:bidi w:val="0"/>
        <w:adjustRightInd/>
        <w:snapToGrid/>
        <w:spacing w:line="440" w:lineRule="exact"/>
        <w:textAlignment w:val="auto"/>
        <w:rPr>
          <w:rFonts w:hint="eastAsia" w:eastAsiaTheme="minorEastAsia"/>
          <w:sz w:val="24"/>
          <w:szCs w:val="28"/>
          <w:lang w:val="en-US" w:eastAsia="zh-CN"/>
        </w:rPr>
      </w:pPr>
      <w:r>
        <w:rPr>
          <w:rFonts w:hint="eastAsia"/>
          <w:sz w:val="24"/>
          <w:szCs w:val="28"/>
          <w:lang w:val="en-US" w:eastAsia="zh-CN"/>
        </w:rPr>
        <w:t>评分表</w:t>
      </w:r>
    </w:p>
    <w:tbl>
      <w:tblPr>
        <w:tblStyle w:val="15"/>
        <w:tblW w:w="8978" w:type="dxa"/>
        <w:tblInd w:w="93" w:type="dxa"/>
        <w:tblLayout w:type="autofit"/>
        <w:tblCellMar>
          <w:top w:w="0" w:type="dxa"/>
          <w:left w:w="108" w:type="dxa"/>
          <w:bottom w:w="0" w:type="dxa"/>
          <w:right w:w="108" w:type="dxa"/>
        </w:tblCellMar>
      </w:tblPr>
      <w:tblGrid>
        <w:gridCol w:w="952"/>
        <w:gridCol w:w="1528"/>
        <w:gridCol w:w="6498"/>
      </w:tblGrid>
      <w:tr w14:paraId="4CF44503">
        <w:tblPrEx>
          <w:tblCellMar>
            <w:top w:w="0" w:type="dxa"/>
            <w:left w:w="108" w:type="dxa"/>
            <w:bottom w:w="0" w:type="dxa"/>
            <w:right w:w="108" w:type="dxa"/>
          </w:tblCellMar>
        </w:tblPrEx>
        <w:trPr>
          <w:trHeight w:val="326" w:hRule="atLeast"/>
        </w:trPr>
        <w:tc>
          <w:tcPr>
            <w:tcW w:w="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34D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3DC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评分内容</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F5AF">
            <w:pPr>
              <w:widowControl/>
              <w:jc w:val="center"/>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评分标准</w:t>
            </w:r>
          </w:p>
        </w:tc>
      </w:tr>
      <w:tr w14:paraId="727A22AA">
        <w:tblPrEx>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7B2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8E059">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项目报价30分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4D55">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(1)满足招标文件全部要求，报价最低的作为评标基准价，得</w:t>
            </w:r>
            <w:r>
              <w:rPr>
                <w:rFonts w:hint="eastAsia" w:ascii="宋体" w:hAnsi="宋体" w:eastAsia="宋体" w:cs="宋体"/>
                <w:color w:val="000000" w:themeColor="text1"/>
                <w:kern w:val="0"/>
                <w:sz w:val="22"/>
                <w:szCs w:val="22"/>
                <w:lang w:val="en-US" w:eastAsia="zh-CN" w:bidi="ar"/>
                <w14:textFill>
                  <w14:solidFill>
                    <w14:schemeClr w14:val="tx1"/>
                  </w14:solidFill>
                </w14:textFill>
              </w:rPr>
              <w:t>30</w:t>
            </w:r>
            <w:r>
              <w:rPr>
                <w:rFonts w:hint="eastAsia" w:ascii="宋体" w:hAnsi="宋体" w:eastAsia="宋体" w:cs="宋体"/>
                <w:color w:val="000000" w:themeColor="text1"/>
                <w:kern w:val="0"/>
                <w:sz w:val="22"/>
                <w:szCs w:val="22"/>
                <w:lang w:bidi="ar"/>
                <w14:textFill>
                  <w14:solidFill>
                    <w14:schemeClr w14:val="tx1"/>
                  </w14:solidFill>
                </w14:textFill>
              </w:rPr>
              <w:t>分</w:t>
            </w:r>
          </w:p>
        </w:tc>
      </w:tr>
      <w:tr w14:paraId="5DA72B97">
        <w:tblPrEx>
          <w:tblCellMar>
            <w:top w:w="0" w:type="dxa"/>
            <w:left w:w="108" w:type="dxa"/>
            <w:bottom w:w="0" w:type="dxa"/>
            <w:right w:w="108" w:type="dxa"/>
          </w:tblCellMar>
        </w:tblPrEx>
        <w:trPr>
          <w:trHeight w:val="9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6007">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71226">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5B17">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(2)计算得分：投标报价得分＝(评标基准价÷投标报价)×价格权值</w:t>
            </w:r>
          </w:p>
        </w:tc>
      </w:tr>
      <w:tr w14:paraId="77862BD6">
        <w:tblPrEx>
          <w:tblCellMar>
            <w:top w:w="0" w:type="dxa"/>
            <w:left w:w="108" w:type="dxa"/>
            <w:bottom w:w="0" w:type="dxa"/>
            <w:right w:w="108" w:type="dxa"/>
          </w:tblCellMar>
        </w:tblPrEx>
        <w:trPr>
          <w:trHeight w:val="937"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923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7926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需求理解及服务方案35分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97A8">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能很好理解开展该项目的背景和需求，服务方案完整清晰、目标明确，贴合本项目，落地可行。得25-35分</w:t>
            </w:r>
          </w:p>
        </w:tc>
      </w:tr>
      <w:tr w14:paraId="49F0C4F8">
        <w:tblPrEx>
          <w:tblCellMar>
            <w:top w:w="0" w:type="dxa"/>
            <w:left w:w="108" w:type="dxa"/>
            <w:bottom w:w="0" w:type="dxa"/>
            <w:right w:w="108" w:type="dxa"/>
          </w:tblCellMar>
        </w:tblPrEx>
        <w:trPr>
          <w:trHeight w:val="8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175D">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A16D">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4F13">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能较好理解项目背景和需求，服务方案比较完整、合理。得15-24分</w:t>
            </w:r>
          </w:p>
        </w:tc>
      </w:tr>
      <w:tr w14:paraId="6A2A63B4">
        <w:tblPrEx>
          <w:tblCellMar>
            <w:top w:w="0" w:type="dxa"/>
            <w:left w:w="108" w:type="dxa"/>
            <w:bottom w:w="0" w:type="dxa"/>
            <w:right w:w="108" w:type="dxa"/>
          </w:tblCellMar>
        </w:tblPrEx>
        <w:trPr>
          <w:trHeight w:val="8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3190">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9011E">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66C8">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需求理解不到位，服务方案一般，针对性、可落地性差。得1-14分</w:t>
            </w:r>
          </w:p>
        </w:tc>
      </w:tr>
      <w:tr w14:paraId="4015483C">
        <w:tblPrEx>
          <w:tblCellMar>
            <w:top w:w="0" w:type="dxa"/>
            <w:left w:w="108" w:type="dxa"/>
            <w:bottom w:w="0" w:type="dxa"/>
            <w:right w:w="108" w:type="dxa"/>
          </w:tblCellMar>
        </w:tblPrEx>
        <w:trPr>
          <w:trHeight w:val="70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107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2BA1B">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业绩和技术15分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C19F">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近三年</w:t>
            </w:r>
            <w:r>
              <w:rPr>
                <w:rFonts w:hint="eastAsia" w:ascii="宋体" w:hAnsi="宋体" w:eastAsia="宋体" w:cs="宋体"/>
                <w:color w:val="000000" w:themeColor="text1"/>
                <w:kern w:val="0"/>
                <w:sz w:val="22"/>
                <w:szCs w:val="22"/>
                <w:lang w:eastAsia="zh-CN" w:bidi="ar"/>
                <w14:textFill>
                  <w14:solidFill>
                    <w14:schemeClr w14:val="tx1"/>
                  </w14:solidFill>
                </w14:textFill>
              </w:rPr>
              <w:t>（</w:t>
            </w:r>
            <w:r>
              <w:rPr>
                <w:rFonts w:hint="eastAsia" w:ascii="宋体" w:hAnsi="宋体" w:eastAsia="宋体" w:cs="宋体"/>
                <w:color w:val="000000" w:themeColor="text1"/>
                <w:kern w:val="0"/>
                <w:sz w:val="22"/>
                <w:szCs w:val="22"/>
                <w:lang w:val="en-US" w:eastAsia="zh-CN" w:bidi="ar"/>
                <w14:textFill>
                  <w14:solidFill>
                    <w14:schemeClr w14:val="tx1"/>
                  </w14:solidFill>
                </w14:textFill>
              </w:rPr>
              <w:t>合同签订日期需在2023年8月31日以后）</w:t>
            </w:r>
            <w:r>
              <w:rPr>
                <w:rFonts w:hint="eastAsia" w:ascii="宋体" w:hAnsi="宋体" w:eastAsia="宋体" w:cs="宋体"/>
                <w:color w:val="000000" w:themeColor="text1"/>
                <w:kern w:val="0"/>
                <w:sz w:val="22"/>
                <w:szCs w:val="22"/>
                <w:lang w:bidi="ar"/>
                <w14:textFill>
                  <w14:solidFill>
                    <w14:schemeClr w14:val="tx1"/>
                  </w14:solidFill>
                </w14:textFill>
              </w:rPr>
              <w:t xml:space="preserve">同类项目，凭合同或者中标通知书计分；一个业绩2分，最多拿满6分，最多准备3个有效业绩                                 </w:t>
            </w:r>
          </w:p>
        </w:tc>
      </w:tr>
      <w:tr w14:paraId="079E8CA2">
        <w:tblPrEx>
          <w:tblCellMar>
            <w:top w:w="0" w:type="dxa"/>
            <w:left w:w="108" w:type="dxa"/>
            <w:bottom w:w="0" w:type="dxa"/>
            <w:right w:w="108" w:type="dxa"/>
          </w:tblCellMar>
        </w:tblPrEx>
        <w:trPr>
          <w:trHeight w:val="74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D0B8">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BA22">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D54D">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公司自有知识产权，一个知识产权3分，最多拿满9分，最多准备3个知识产权</w:t>
            </w:r>
          </w:p>
        </w:tc>
      </w:tr>
      <w:tr w14:paraId="1006A1B4">
        <w:tblPrEx>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112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50ED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人员配备10分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A58">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负责人经验丰富，团队配置科学，综合实力强，得8</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ascii="宋体" w:hAnsi="宋体" w:eastAsia="宋体" w:cs="宋体"/>
                <w:color w:val="000000" w:themeColor="text1"/>
                <w:kern w:val="0"/>
                <w:sz w:val="22"/>
                <w:szCs w:val="22"/>
                <w:lang w:bidi="ar"/>
                <w14:textFill>
                  <w14:solidFill>
                    <w14:schemeClr w14:val="tx1"/>
                  </w14:solidFill>
                </w14:textFill>
              </w:rPr>
              <w:t>10分</w:t>
            </w:r>
          </w:p>
        </w:tc>
      </w:tr>
      <w:tr w14:paraId="1A69C490">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C4E0">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51BDF">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AFC5">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现场带教人员配置刚好满足招标最低要求，得5</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ascii="宋体" w:hAnsi="宋体" w:eastAsia="宋体" w:cs="宋体"/>
                <w:color w:val="000000" w:themeColor="text1"/>
                <w:kern w:val="0"/>
                <w:sz w:val="22"/>
                <w:szCs w:val="22"/>
                <w:lang w:bidi="ar"/>
                <w14:textFill>
                  <w14:solidFill>
                    <w14:schemeClr w14:val="tx1"/>
                  </w14:solidFill>
                </w14:textFill>
              </w:rPr>
              <w:t>7分</w:t>
            </w:r>
          </w:p>
        </w:tc>
      </w:tr>
      <w:tr w14:paraId="4264C95C">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68A2">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4EF90">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A472">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bidi="ar"/>
                <w14:textFill>
                  <w14:solidFill>
                    <w14:schemeClr w14:val="tx1"/>
                  </w14:solidFill>
                </w14:textFill>
              </w:rPr>
              <w:t>现场带教人员配置有短板、缺人，得1</w:t>
            </w:r>
            <w:r>
              <w:rPr>
                <w:rFonts w:hint="eastAsia" w:ascii="宋体" w:hAnsi="宋体" w:eastAsia="宋体" w:cs="宋体"/>
                <w:color w:val="000000" w:themeColor="text1"/>
                <w:kern w:val="0"/>
                <w:sz w:val="22"/>
                <w:szCs w:val="22"/>
                <w:lang w:val="en-US" w:eastAsia="zh-CN" w:bidi="ar"/>
                <w14:textFill>
                  <w14:solidFill>
                    <w14:schemeClr w14:val="tx1"/>
                  </w14:solidFill>
                </w14:textFill>
              </w:rPr>
              <w:t>-</w:t>
            </w:r>
            <w:r>
              <w:rPr>
                <w:rFonts w:hint="eastAsia" w:ascii="宋体" w:hAnsi="宋体" w:eastAsia="宋体" w:cs="宋体"/>
                <w:color w:val="000000" w:themeColor="text1"/>
                <w:kern w:val="0"/>
                <w:sz w:val="22"/>
                <w:szCs w:val="22"/>
                <w:lang w:bidi="ar"/>
                <w14:textFill>
                  <w14:solidFill>
                    <w14:schemeClr w14:val="tx1"/>
                  </w14:solidFill>
                </w14:textFill>
              </w:rPr>
              <w:t>4分</w:t>
            </w:r>
          </w:p>
        </w:tc>
      </w:tr>
      <w:tr w14:paraId="28D5083D">
        <w:tblPrEx>
          <w:tblCellMar>
            <w:top w:w="0" w:type="dxa"/>
            <w:left w:w="108" w:type="dxa"/>
            <w:bottom w:w="0" w:type="dxa"/>
            <w:right w:w="108" w:type="dxa"/>
          </w:tblCellMar>
        </w:tblPrEx>
        <w:trPr>
          <w:trHeight w:val="37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B35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FD61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增值服务10分</w:t>
            </w: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692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根据供应商提供的增值服务进行评分：</w:t>
            </w:r>
          </w:p>
        </w:tc>
      </w:tr>
      <w:tr w14:paraId="5760850B">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98F6">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EEBE3">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723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提出的增值服务具有很强的合理性、可操作性好，得8</w:t>
            </w:r>
            <w:r>
              <w:rPr>
                <w:rFonts w:hint="eastAsia" w:ascii="宋体" w:hAnsi="宋体" w:eastAsia="宋体" w:cs="宋体"/>
                <w:color w:val="000000"/>
                <w:kern w:val="0"/>
                <w:sz w:val="22"/>
                <w:szCs w:val="22"/>
                <w:lang w:val="en-US" w:eastAsia="zh-CN" w:bidi="ar"/>
              </w:rPr>
              <w:t>-</w:t>
            </w:r>
            <w:r>
              <w:rPr>
                <w:rFonts w:hint="eastAsia" w:ascii="宋体" w:hAnsi="宋体" w:eastAsia="宋体" w:cs="宋体"/>
                <w:color w:val="000000"/>
                <w:kern w:val="0"/>
                <w:sz w:val="22"/>
                <w:szCs w:val="22"/>
                <w:lang w:bidi="ar"/>
              </w:rPr>
              <w:t>10分</w:t>
            </w:r>
          </w:p>
        </w:tc>
      </w:tr>
      <w:tr w14:paraId="32D7508A">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746C">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06602">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ADB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提出的增值内容具有一定的合理性，可操作性一般，得5</w:t>
            </w:r>
            <w:r>
              <w:rPr>
                <w:rFonts w:hint="eastAsia" w:ascii="宋体" w:hAnsi="宋体" w:eastAsia="宋体" w:cs="宋体"/>
                <w:color w:val="000000"/>
                <w:kern w:val="0"/>
                <w:sz w:val="22"/>
                <w:szCs w:val="22"/>
                <w:lang w:val="en-US" w:eastAsia="zh-CN" w:bidi="ar"/>
              </w:rPr>
              <w:t>-</w:t>
            </w:r>
            <w:r>
              <w:rPr>
                <w:rFonts w:hint="eastAsia" w:ascii="宋体" w:hAnsi="宋体" w:eastAsia="宋体" w:cs="宋体"/>
                <w:color w:val="000000"/>
                <w:kern w:val="0"/>
                <w:sz w:val="22"/>
                <w:szCs w:val="22"/>
                <w:lang w:bidi="ar"/>
              </w:rPr>
              <w:t>7分</w:t>
            </w:r>
          </w:p>
        </w:tc>
      </w:tr>
      <w:tr w14:paraId="3D5CB5C9">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6150">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45D1">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97E0">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提出的增值服务针对性较差，较粗糙，得1</w:t>
            </w:r>
            <w:r>
              <w:rPr>
                <w:rFonts w:hint="eastAsia" w:ascii="宋体" w:hAnsi="宋体" w:eastAsia="宋体" w:cs="宋体"/>
                <w:color w:val="000000"/>
                <w:kern w:val="0"/>
                <w:sz w:val="22"/>
                <w:szCs w:val="22"/>
                <w:lang w:val="en-US" w:eastAsia="zh-CN" w:bidi="ar"/>
              </w:rPr>
              <w:t>-</w:t>
            </w:r>
            <w:r>
              <w:rPr>
                <w:rFonts w:hint="eastAsia" w:ascii="宋体" w:hAnsi="宋体" w:eastAsia="宋体" w:cs="宋体"/>
                <w:color w:val="000000"/>
                <w:kern w:val="0"/>
                <w:sz w:val="22"/>
                <w:szCs w:val="22"/>
                <w:lang w:bidi="ar"/>
              </w:rPr>
              <w:t>4分</w:t>
            </w:r>
          </w:p>
        </w:tc>
      </w:tr>
      <w:tr w14:paraId="2609B6B6">
        <w:tblPrEx>
          <w:tblCellMar>
            <w:top w:w="0" w:type="dxa"/>
            <w:left w:w="108" w:type="dxa"/>
            <w:bottom w:w="0" w:type="dxa"/>
            <w:right w:w="108" w:type="dxa"/>
          </w:tblCellMar>
        </w:tblPrEx>
        <w:trPr>
          <w:trHeight w:val="373" w:hRule="atLeast"/>
        </w:trPr>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095AE552">
            <w:pPr>
              <w:jc w:val="center"/>
              <w:rPr>
                <w:rFonts w:ascii="宋体" w:hAnsi="宋体" w:eastAsia="宋体" w:cs="宋体"/>
                <w:color w:val="000000"/>
                <w:sz w:val="22"/>
                <w:szCs w:val="22"/>
              </w:rPr>
            </w:pPr>
          </w:p>
        </w:tc>
        <w:tc>
          <w:tcPr>
            <w:tcW w:w="152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867EA77">
            <w:pPr>
              <w:jc w:val="left"/>
              <w:rPr>
                <w:rFonts w:ascii="宋体" w:hAnsi="宋体" w:eastAsia="宋体" w:cs="宋体"/>
                <w:color w:val="000000"/>
                <w:sz w:val="22"/>
                <w:szCs w:val="22"/>
              </w:rPr>
            </w:pPr>
          </w:p>
        </w:tc>
        <w:tc>
          <w:tcPr>
            <w:tcW w:w="6498" w:type="dxa"/>
            <w:tcBorders>
              <w:top w:val="single" w:color="000000" w:sz="4" w:space="0"/>
              <w:left w:val="single" w:color="000000" w:sz="4" w:space="0"/>
              <w:bottom w:val="single" w:color="auto" w:sz="4" w:space="0"/>
              <w:right w:val="single" w:color="000000" w:sz="4" w:space="0"/>
            </w:tcBorders>
            <w:shd w:val="clear" w:color="auto" w:fill="auto"/>
            <w:vAlign w:val="center"/>
          </w:tcPr>
          <w:p w14:paraId="323AB8D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完全不提供增值服务，或者内容和本项目无关，得0分</w:t>
            </w:r>
          </w:p>
        </w:tc>
      </w:tr>
      <w:tr w14:paraId="43986BC6">
        <w:tblPrEx>
          <w:tblCellMar>
            <w:top w:w="0" w:type="dxa"/>
            <w:left w:w="108" w:type="dxa"/>
            <w:bottom w:w="0" w:type="dxa"/>
            <w:right w:w="108" w:type="dxa"/>
          </w:tblCellMar>
        </w:tblPrEx>
        <w:trPr>
          <w:trHeight w:val="326" w:hRule="atLeast"/>
        </w:trPr>
        <w:tc>
          <w:tcPr>
            <w:tcW w:w="897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41A19B">
            <w:pPr>
              <w:jc w:val="left"/>
              <w:rPr>
                <w:rFonts w:ascii="宋体" w:hAnsi="宋体" w:eastAsia="宋体" w:cs="宋体"/>
                <w:color w:val="000000"/>
                <w:sz w:val="22"/>
                <w:szCs w:val="22"/>
              </w:rPr>
            </w:pPr>
            <w:r>
              <w:rPr>
                <w:rFonts w:hint="eastAsia" w:ascii="宋体" w:hAnsi="宋体" w:eastAsia="宋体" w:cs="宋体"/>
                <w:color w:val="000000"/>
                <w:kern w:val="0"/>
                <w:sz w:val="22"/>
                <w:szCs w:val="22"/>
                <w:lang w:bidi="ar"/>
              </w:rPr>
              <w:t>总分100分</w:t>
            </w:r>
          </w:p>
        </w:tc>
      </w:tr>
    </w:tbl>
    <w:p w14:paraId="3F28AF1D">
      <w:pPr>
        <w:spacing w:line="360" w:lineRule="auto"/>
        <w:rPr>
          <w:rFonts w:hint="eastAsia" w:ascii="仿宋" w:hAnsi="仿宋" w:eastAsia="仿宋"/>
          <w:sz w:val="24"/>
          <w:szCs w:val="28"/>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2">
    <w:nsid w:val="715A963E"/>
    <w:multiLevelType w:val="singleLevel"/>
    <w:tmpl w:val="715A963E"/>
    <w:lvl w:ilvl="0" w:tentative="0">
      <w:start w:val="3"/>
      <w:numFmt w:val="decimal"/>
      <w:suff w:val="nothing"/>
      <w:lvlText w:val="%1、"/>
      <w:lvlJc w:val="left"/>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26"/>
    <w:rsid w:val="00042A6D"/>
    <w:rsid w:val="000531A8"/>
    <w:rsid w:val="000F01F7"/>
    <w:rsid w:val="00106E87"/>
    <w:rsid w:val="001129F2"/>
    <w:rsid w:val="00121674"/>
    <w:rsid w:val="00192128"/>
    <w:rsid w:val="002449C6"/>
    <w:rsid w:val="00262B6F"/>
    <w:rsid w:val="00290A19"/>
    <w:rsid w:val="002E0D0D"/>
    <w:rsid w:val="00386DEB"/>
    <w:rsid w:val="003A489D"/>
    <w:rsid w:val="0042309A"/>
    <w:rsid w:val="004921F4"/>
    <w:rsid w:val="004A1E7F"/>
    <w:rsid w:val="0059175E"/>
    <w:rsid w:val="005B2AB0"/>
    <w:rsid w:val="006056F4"/>
    <w:rsid w:val="006565D3"/>
    <w:rsid w:val="00695CC4"/>
    <w:rsid w:val="006A42BF"/>
    <w:rsid w:val="006F53D0"/>
    <w:rsid w:val="00703426"/>
    <w:rsid w:val="007A3D88"/>
    <w:rsid w:val="00833A80"/>
    <w:rsid w:val="008C62D2"/>
    <w:rsid w:val="00AB7A3B"/>
    <w:rsid w:val="00AD7F70"/>
    <w:rsid w:val="00B31167"/>
    <w:rsid w:val="00BC2B8B"/>
    <w:rsid w:val="00C37FF8"/>
    <w:rsid w:val="00C50E93"/>
    <w:rsid w:val="00C741E9"/>
    <w:rsid w:val="00EC1904"/>
    <w:rsid w:val="00F024D9"/>
    <w:rsid w:val="00FD0912"/>
    <w:rsid w:val="01EA636A"/>
    <w:rsid w:val="056C5A14"/>
    <w:rsid w:val="064C314F"/>
    <w:rsid w:val="077527CF"/>
    <w:rsid w:val="07BA233A"/>
    <w:rsid w:val="097B701A"/>
    <w:rsid w:val="0AF85654"/>
    <w:rsid w:val="0D98567C"/>
    <w:rsid w:val="13C94031"/>
    <w:rsid w:val="14B922F8"/>
    <w:rsid w:val="14B940A6"/>
    <w:rsid w:val="17DF339A"/>
    <w:rsid w:val="19B27315"/>
    <w:rsid w:val="19C358AB"/>
    <w:rsid w:val="1AE300CE"/>
    <w:rsid w:val="1D373DFD"/>
    <w:rsid w:val="201725C8"/>
    <w:rsid w:val="229677D4"/>
    <w:rsid w:val="26760048"/>
    <w:rsid w:val="27CD67EB"/>
    <w:rsid w:val="2950007E"/>
    <w:rsid w:val="2A1C0F07"/>
    <w:rsid w:val="2B9D6077"/>
    <w:rsid w:val="2C0E487F"/>
    <w:rsid w:val="2C3F0EDD"/>
    <w:rsid w:val="2D4C0361"/>
    <w:rsid w:val="2F650C5A"/>
    <w:rsid w:val="302503E9"/>
    <w:rsid w:val="306B5A96"/>
    <w:rsid w:val="326F1DF0"/>
    <w:rsid w:val="3667350A"/>
    <w:rsid w:val="36B10648"/>
    <w:rsid w:val="36BA5D2F"/>
    <w:rsid w:val="36FE637A"/>
    <w:rsid w:val="38C509BB"/>
    <w:rsid w:val="3B620744"/>
    <w:rsid w:val="3BA96372"/>
    <w:rsid w:val="3D0D2931"/>
    <w:rsid w:val="3E09759C"/>
    <w:rsid w:val="3F1D596B"/>
    <w:rsid w:val="401A15ED"/>
    <w:rsid w:val="40A86BF9"/>
    <w:rsid w:val="42AE426E"/>
    <w:rsid w:val="45837C34"/>
    <w:rsid w:val="4C7C718B"/>
    <w:rsid w:val="4D8D1DDA"/>
    <w:rsid w:val="50A8054F"/>
    <w:rsid w:val="51E97071"/>
    <w:rsid w:val="520474AC"/>
    <w:rsid w:val="53E44318"/>
    <w:rsid w:val="53F00B8B"/>
    <w:rsid w:val="54C16083"/>
    <w:rsid w:val="56C37E91"/>
    <w:rsid w:val="59DB1995"/>
    <w:rsid w:val="5A8738CB"/>
    <w:rsid w:val="5E2D227B"/>
    <w:rsid w:val="5F265461"/>
    <w:rsid w:val="60762418"/>
    <w:rsid w:val="60F82E2D"/>
    <w:rsid w:val="651346D9"/>
    <w:rsid w:val="68EF2759"/>
    <w:rsid w:val="6CD7423E"/>
    <w:rsid w:val="6F101C89"/>
    <w:rsid w:val="710B6BAC"/>
    <w:rsid w:val="728B39BD"/>
    <w:rsid w:val="735859AD"/>
    <w:rsid w:val="768E61AC"/>
    <w:rsid w:val="76A21419"/>
    <w:rsid w:val="79DC0D9E"/>
    <w:rsid w:val="7AFB559C"/>
    <w:rsid w:val="7D384885"/>
    <w:rsid w:val="7D494CE4"/>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Char"/>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Char"/>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Char"/>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Char"/>
    <w:basedOn w:val="16"/>
    <w:link w:val="5"/>
    <w:semiHidden/>
    <w:qFormat/>
    <w:uiPriority w:val="9"/>
    <w:rPr>
      <w:rFonts w:cstheme="majorBidi"/>
      <w:color w:val="104862" w:themeColor="accent1" w:themeShade="BF"/>
      <w:sz w:val="28"/>
      <w:szCs w:val="28"/>
    </w:rPr>
  </w:style>
  <w:style w:type="character" w:customStyle="1" w:styleId="21">
    <w:name w:val="标题 5 Char"/>
    <w:basedOn w:val="16"/>
    <w:link w:val="6"/>
    <w:semiHidden/>
    <w:qFormat/>
    <w:uiPriority w:val="9"/>
    <w:rPr>
      <w:rFonts w:cstheme="majorBidi"/>
      <w:color w:val="104862" w:themeColor="accent1" w:themeShade="BF"/>
      <w:sz w:val="24"/>
      <w:szCs w:val="24"/>
    </w:rPr>
  </w:style>
  <w:style w:type="character" w:customStyle="1" w:styleId="22">
    <w:name w:val="标题 6 Char"/>
    <w:basedOn w:val="16"/>
    <w:link w:val="7"/>
    <w:semiHidden/>
    <w:qFormat/>
    <w:uiPriority w:val="9"/>
    <w:rPr>
      <w:rFonts w:cstheme="majorBidi"/>
      <w:b/>
      <w:bCs/>
      <w:color w:val="104862" w:themeColor="accent1" w:themeShade="BF"/>
    </w:rPr>
  </w:style>
  <w:style w:type="character" w:customStyle="1" w:styleId="23">
    <w:name w:val="标题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Char"/>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Char"/>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Char"/>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Char"/>
    <w:basedOn w:val="16"/>
    <w:link w:val="12"/>
    <w:qFormat/>
    <w:uiPriority w:val="99"/>
    <w:rPr>
      <w:sz w:val="18"/>
      <w:szCs w:val="18"/>
    </w:rPr>
  </w:style>
  <w:style w:type="character" w:customStyle="1" w:styleId="36">
    <w:name w:val="页脚 Char"/>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2763</Words>
  <Characters>2898</Characters>
  <Lines>20</Lines>
  <Paragraphs>5</Paragraphs>
  <TotalTime>10</TotalTime>
  <ScaleCrop>false</ScaleCrop>
  <LinksUpToDate>false</LinksUpToDate>
  <CharactersWithSpaces>3151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2026-09-02T02:34:00Z</dcterms:created>
  <dc:creator>佳靓 钱</dc:creator>
  <cp:lastModifiedBy>KK</cp:lastModifiedBy>
  <cp:lastPrinted>2026-07-07T10:55:00Z</cp:lastPrinted>
  <dcterms:modified xsi:type="dcterms:W3CDTF">2026-09-08T06:21:10Z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eyJoZGlkIjoiMmE0Njc2MjM1ODRkODNkOGM1ZDBjYTQxYTM0MWFiMWEiLCJ1c2VySWQiOiI0MzM5ODA5NTEifQ==</vt:lpwstr>
  </property>
  <property fmtid="{D5CDD505-2E9C-101B-9397-08002B2CF9AE}" pid="3" name="KSOProductBuildVer">
    <vt:lpwstr>2052-12.1.0.28505</vt:lpwstr>
  </property>
  <property fmtid="{D5CDD505-2E9C-101B-9397-08002B2CF9AE}" pid="4" name="ICV">
    <vt:lpwstr>E1CC577F0F644628BAFDE962C1E7BD45_13</vt:lpwstr>
  </property>
</Properties>
</file>