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5C69F287" w:rsidR="00703426" w:rsidRPr="00833A80" w:rsidRDefault="004A3521" w:rsidP="00703426">
      <w:pPr>
        <w:jc w:val="center"/>
        <w:rPr>
          <w:rFonts w:ascii="黑体" w:eastAsia="黑体" w:hAnsi="黑体" w:hint="eastAsia"/>
          <w:b/>
          <w:bCs/>
          <w:sz w:val="28"/>
          <w:szCs w:val="32"/>
        </w:rPr>
      </w:pPr>
      <w:r>
        <w:rPr>
          <w:rFonts w:ascii="黑体" w:eastAsia="黑体" w:hAnsi="黑体" w:hint="eastAsia"/>
          <w:b/>
          <w:bCs/>
          <w:sz w:val="28"/>
          <w:szCs w:val="32"/>
        </w:rPr>
        <w:t>国际</w:t>
      </w:r>
      <w:proofErr w:type="gramStart"/>
      <w:r>
        <w:rPr>
          <w:rFonts w:ascii="黑体" w:eastAsia="黑体" w:hAnsi="黑体" w:hint="eastAsia"/>
          <w:b/>
          <w:bCs/>
          <w:sz w:val="28"/>
          <w:szCs w:val="32"/>
        </w:rPr>
        <w:t>教育</w:t>
      </w:r>
      <w:r w:rsidR="004319BC">
        <w:rPr>
          <w:rFonts w:ascii="黑体" w:eastAsia="黑体" w:hAnsi="黑体" w:hint="eastAsia"/>
          <w:b/>
          <w:bCs/>
          <w:sz w:val="28"/>
          <w:szCs w:val="32"/>
        </w:rPr>
        <w:t>节</w:t>
      </w:r>
      <w:r w:rsidR="00CB617B">
        <w:rPr>
          <w:rFonts w:ascii="黑体" w:eastAsia="黑体" w:hAnsi="黑体" w:hint="eastAsia"/>
          <w:b/>
          <w:bCs/>
          <w:sz w:val="28"/>
          <w:szCs w:val="32"/>
        </w:rPr>
        <w:t>校企</w:t>
      </w:r>
      <w:proofErr w:type="gramEnd"/>
      <w:r w:rsidR="00CB617B">
        <w:rPr>
          <w:rFonts w:ascii="黑体" w:eastAsia="黑体" w:hAnsi="黑体" w:hint="eastAsia"/>
          <w:b/>
          <w:bCs/>
          <w:sz w:val="28"/>
          <w:szCs w:val="32"/>
        </w:rPr>
        <w:t>合作</w:t>
      </w:r>
      <w:r>
        <w:rPr>
          <w:rFonts w:ascii="黑体" w:eastAsia="黑体" w:hAnsi="黑体" w:hint="eastAsia"/>
          <w:b/>
          <w:bCs/>
          <w:sz w:val="28"/>
          <w:szCs w:val="32"/>
        </w:rPr>
        <w:t>活动</w:t>
      </w:r>
      <w:r w:rsidR="00703426" w:rsidRPr="00833A80">
        <w:rPr>
          <w:rFonts w:ascii="黑体" w:eastAsia="黑体" w:hAnsi="黑体" w:hint="eastAsia"/>
          <w:b/>
          <w:bCs/>
          <w:sz w:val="28"/>
          <w:szCs w:val="32"/>
        </w:rPr>
        <w:t>项目采购需求</w:t>
      </w:r>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2F5B5017" w14:textId="3FB7F9E2" w:rsidR="00703426" w:rsidRPr="00833A80"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2025年</w:t>
      </w:r>
      <w:r w:rsidR="004A3521" w:rsidRPr="004A3521">
        <w:rPr>
          <w:rFonts w:ascii="仿宋" w:eastAsia="仿宋" w:hAnsi="仿宋" w:hint="eastAsia"/>
          <w:sz w:val="24"/>
          <w:szCs w:val="28"/>
        </w:rPr>
        <w:t>国际</w:t>
      </w:r>
      <w:proofErr w:type="gramStart"/>
      <w:r w:rsidR="004A3521" w:rsidRPr="004A3521">
        <w:rPr>
          <w:rFonts w:ascii="仿宋" w:eastAsia="仿宋" w:hAnsi="仿宋" w:hint="eastAsia"/>
          <w:sz w:val="24"/>
          <w:szCs w:val="28"/>
        </w:rPr>
        <w:t>教育</w:t>
      </w:r>
      <w:r w:rsidR="004319BC">
        <w:rPr>
          <w:rFonts w:ascii="仿宋" w:eastAsia="仿宋" w:hAnsi="仿宋" w:hint="eastAsia"/>
          <w:sz w:val="24"/>
          <w:szCs w:val="28"/>
        </w:rPr>
        <w:t>节</w:t>
      </w:r>
      <w:r w:rsidR="004A3521" w:rsidRPr="004A3521">
        <w:rPr>
          <w:rFonts w:ascii="仿宋" w:eastAsia="仿宋" w:hAnsi="仿宋" w:hint="eastAsia"/>
          <w:sz w:val="24"/>
          <w:szCs w:val="28"/>
        </w:rPr>
        <w:t>校企</w:t>
      </w:r>
      <w:proofErr w:type="gramEnd"/>
      <w:r w:rsidR="004A3521" w:rsidRPr="004A3521">
        <w:rPr>
          <w:rFonts w:ascii="仿宋" w:eastAsia="仿宋" w:hAnsi="仿宋" w:hint="eastAsia"/>
          <w:sz w:val="24"/>
          <w:szCs w:val="28"/>
        </w:rPr>
        <w:t>合作活动</w:t>
      </w:r>
    </w:p>
    <w:p w14:paraId="5D1C5DC4"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22C60A2D" w:rsidR="00703426" w:rsidRPr="00833A80"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2</w:t>
      </w:r>
      <w:r w:rsidR="00703426" w:rsidRPr="00833A80">
        <w:rPr>
          <w:rFonts w:ascii="仿宋" w:eastAsia="仿宋" w:hAnsi="仿宋" w:hint="eastAsia"/>
          <w:sz w:val="24"/>
          <w:szCs w:val="28"/>
        </w:rPr>
        <w:t>万</w:t>
      </w:r>
      <w:r w:rsidR="00833A80" w:rsidRPr="00833A80">
        <w:rPr>
          <w:rFonts w:ascii="仿宋" w:eastAsia="仿宋" w:hAnsi="仿宋" w:hint="eastAsia"/>
          <w:sz w:val="24"/>
          <w:szCs w:val="28"/>
        </w:rPr>
        <w:t>人民币（大写：</w:t>
      </w:r>
      <w:r>
        <w:rPr>
          <w:rFonts w:ascii="仿宋" w:eastAsia="仿宋" w:hAnsi="仿宋" w:hint="eastAsia"/>
          <w:sz w:val="24"/>
          <w:szCs w:val="28"/>
        </w:rPr>
        <w:t>贰万元整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094F718C"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1、具有独立法人资格及相应经营范围；</w:t>
      </w:r>
    </w:p>
    <w:p w14:paraId="47C3B9E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2、具有国家或有关政府部门颁发的资质证明文件；</w:t>
      </w:r>
    </w:p>
    <w:p w14:paraId="3AC0065F"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3、具有履行合同所必需的设备和专业技术能力的证明材料；</w:t>
      </w:r>
    </w:p>
    <w:p w14:paraId="73C14579"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4、具有良好的信誉和相应产品的销售业绩;</w:t>
      </w:r>
    </w:p>
    <w:p w14:paraId="5893206D"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5、近三年内，在经营活动中没有重大违法记录；</w:t>
      </w:r>
    </w:p>
    <w:p w14:paraId="1F4FDDFA"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6、单位负责人为同一人或者存在直接控股、管理关系的不同供应商，不得同时参加本采购项目投标；</w:t>
      </w:r>
    </w:p>
    <w:p w14:paraId="56037445" w14:textId="77777777" w:rsidR="00833A80"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14:textId="7A69B24D" w:rsidR="00703426" w:rsidRPr="00833A80" w:rsidRDefault="00833A80" w:rsidP="00833A80">
      <w:pPr>
        <w:spacing w:line="360" w:lineRule="auto"/>
        <w:rPr>
          <w:rFonts w:ascii="仿宋" w:eastAsia="仿宋" w:hAnsi="仿宋" w:hint="eastAsia"/>
          <w:sz w:val="24"/>
          <w:szCs w:val="28"/>
        </w:rPr>
      </w:pPr>
      <w:r w:rsidRPr="00833A80">
        <w:rPr>
          <w:rFonts w:ascii="仿宋" w:eastAsia="仿宋" w:hAnsi="仿宋" w:hint="eastAsia"/>
          <w:sz w:val="24"/>
          <w:szCs w:val="28"/>
        </w:rPr>
        <w:t>本项目不接受联合体投标。</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07013277"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1.1 各类宣传海报、电子邀请函等设计与制作</w:t>
      </w:r>
    </w:p>
    <w:p w14:paraId="53F9BF71"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1.2 铜牌（6块）设计与制作</w:t>
      </w:r>
    </w:p>
    <w:p w14:paraId="2F324571"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1.3 背景展板（3米*7米）设计与制作及场地布置</w:t>
      </w:r>
    </w:p>
    <w:p w14:paraId="369ECF67"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1.4 会议手册设计与制作50本，封面200g，内容80g双胶纸，双面印刷打印</w:t>
      </w:r>
    </w:p>
    <w:p w14:paraId="0587639C"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1.5 企业导师聘书设计与制作10本</w:t>
      </w:r>
    </w:p>
    <w:p w14:paraId="36050C33" w14:textId="77777777" w:rsidR="002038A7" w:rsidRPr="002038A7"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1.6 授牌仪式布展</w:t>
      </w:r>
    </w:p>
    <w:p w14:paraId="2F8DB5D3" w14:textId="7AB1C0AA" w:rsidR="001B7703" w:rsidRDefault="002038A7" w:rsidP="002038A7">
      <w:pPr>
        <w:spacing w:line="360" w:lineRule="auto"/>
        <w:rPr>
          <w:rFonts w:ascii="仿宋" w:eastAsia="仿宋" w:hAnsi="仿宋" w:hint="eastAsia"/>
          <w:sz w:val="24"/>
          <w:szCs w:val="28"/>
        </w:rPr>
      </w:pPr>
      <w:r w:rsidRPr="002038A7">
        <w:rPr>
          <w:rFonts w:ascii="仿宋" w:eastAsia="仿宋" w:hAnsi="仿宋" w:hint="eastAsia"/>
          <w:sz w:val="24"/>
          <w:szCs w:val="28"/>
        </w:rPr>
        <w:t>1.7 活动现场照片和视频拍摄，事后提供精修照片不少于30张，可播放视频2-3分钟及相关素材，相关素材去版权化，照片及视频的知识产权归校方所有。</w:t>
      </w:r>
    </w:p>
    <w:p w14:paraId="1523E2F1" w14:textId="0A4260F1"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lastRenderedPageBreak/>
        <w:t>2、交付成果</w:t>
      </w:r>
    </w:p>
    <w:p w14:paraId="18D1C74A" w14:textId="48F94EDE" w:rsidR="004319BC"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2.</w:t>
      </w:r>
      <w:r w:rsidR="001B08BD">
        <w:rPr>
          <w:rFonts w:ascii="仿宋" w:eastAsia="仿宋" w:hAnsi="仿宋" w:hint="eastAsia"/>
          <w:sz w:val="24"/>
          <w:szCs w:val="28"/>
        </w:rPr>
        <w:t>1</w:t>
      </w:r>
      <w:r>
        <w:rPr>
          <w:rFonts w:ascii="仿宋" w:eastAsia="仿宋" w:hAnsi="仿宋"/>
          <w:sz w:val="24"/>
          <w:szCs w:val="28"/>
        </w:rPr>
        <w:t xml:space="preserve"> </w:t>
      </w:r>
      <w:r w:rsidR="004319BC">
        <w:rPr>
          <w:rFonts w:ascii="仿宋" w:eastAsia="仿宋" w:hAnsi="仿宋" w:hint="eastAsia"/>
          <w:sz w:val="24"/>
          <w:szCs w:val="28"/>
        </w:rPr>
        <w:t>所有设计方案的电子版</w:t>
      </w:r>
    </w:p>
    <w:p w14:paraId="1654C463" w14:textId="64673A64" w:rsidR="001B08BD" w:rsidRDefault="001B08BD" w:rsidP="00833A80">
      <w:pPr>
        <w:spacing w:line="360" w:lineRule="auto"/>
        <w:rPr>
          <w:rFonts w:ascii="仿宋" w:eastAsia="仿宋" w:hAnsi="仿宋" w:hint="eastAsia"/>
          <w:sz w:val="24"/>
          <w:szCs w:val="28"/>
        </w:rPr>
      </w:pPr>
      <w:r w:rsidRPr="002038A7">
        <w:rPr>
          <w:rFonts w:ascii="仿宋" w:eastAsia="仿宋" w:hAnsi="仿宋" w:hint="eastAsia"/>
          <w:sz w:val="24"/>
          <w:szCs w:val="28"/>
        </w:rPr>
        <w:t xml:space="preserve">2.2 </w:t>
      </w:r>
      <w:r w:rsidR="002038A7" w:rsidRPr="002038A7">
        <w:rPr>
          <w:rFonts w:ascii="仿宋" w:eastAsia="仿宋" w:hAnsi="仿宋" w:hint="eastAsia"/>
          <w:sz w:val="24"/>
          <w:szCs w:val="28"/>
        </w:rPr>
        <w:t>铜牌6块</w:t>
      </w:r>
    </w:p>
    <w:p w14:paraId="1CAE1307" w14:textId="100B3A59" w:rsidR="004319BC" w:rsidRDefault="004319BC" w:rsidP="00833A80">
      <w:pPr>
        <w:spacing w:line="360" w:lineRule="auto"/>
        <w:rPr>
          <w:rFonts w:ascii="仿宋" w:eastAsia="仿宋" w:hAnsi="仿宋" w:hint="eastAsia"/>
          <w:sz w:val="24"/>
          <w:szCs w:val="28"/>
        </w:rPr>
      </w:pPr>
      <w:r>
        <w:rPr>
          <w:rFonts w:ascii="仿宋" w:eastAsia="仿宋" w:hAnsi="仿宋" w:hint="eastAsia"/>
          <w:sz w:val="24"/>
          <w:szCs w:val="28"/>
        </w:rPr>
        <w:t>2.</w:t>
      </w:r>
      <w:r w:rsidR="001B08BD">
        <w:rPr>
          <w:rFonts w:ascii="仿宋" w:eastAsia="仿宋" w:hAnsi="仿宋" w:hint="eastAsia"/>
          <w:sz w:val="24"/>
          <w:szCs w:val="28"/>
        </w:rPr>
        <w:t>3</w:t>
      </w:r>
      <w:r>
        <w:rPr>
          <w:rFonts w:ascii="仿宋" w:eastAsia="仿宋" w:hAnsi="仿宋"/>
          <w:sz w:val="24"/>
          <w:szCs w:val="28"/>
        </w:rPr>
        <w:t xml:space="preserve"> </w:t>
      </w:r>
      <w:r>
        <w:rPr>
          <w:rFonts w:ascii="仿宋" w:eastAsia="仿宋" w:hAnsi="仿宋" w:hint="eastAsia"/>
          <w:sz w:val="24"/>
          <w:szCs w:val="28"/>
        </w:rPr>
        <w:t>会议手册50本（符合需求）</w:t>
      </w:r>
    </w:p>
    <w:p w14:paraId="5A2AE48B" w14:textId="50A2EA1F" w:rsidR="00CB617B" w:rsidRPr="00833A80" w:rsidRDefault="004319BC" w:rsidP="00833A80">
      <w:pPr>
        <w:spacing w:line="360" w:lineRule="auto"/>
        <w:rPr>
          <w:rFonts w:ascii="仿宋" w:eastAsia="仿宋" w:hAnsi="仿宋" w:hint="eastAsia"/>
          <w:sz w:val="24"/>
          <w:szCs w:val="28"/>
        </w:rPr>
      </w:pPr>
      <w:r>
        <w:rPr>
          <w:rFonts w:ascii="仿宋" w:eastAsia="仿宋" w:hAnsi="仿宋" w:hint="eastAsia"/>
          <w:sz w:val="24"/>
          <w:szCs w:val="28"/>
        </w:rPr>
        <w:t>2.</w:t>
      </w:r>
      <w:r w:rsidR="001B08BD">
        <w:rPr>
          <w:rFonts w:ascii="仿宋" w:eastAsia="仿宋" w:hAnsi="仿宋" w:hint="eastAsia"/>
          <w:sz w:val="24"/>
          <w:szCs w:val="28"/>
        </w:rPr>
        <w:t>4</w:t>
      </w:r>
      <w:r>
        <w:rPr>
          <w:rFonts w:ascii="仿宋" w:eastAsia="仿宋" w:hAnsi="仿宋"/>
          <w:sz w:val="24"/>
          <w:szCs w:val="28"/>
        </w:rPr>
        <w:t xml:space="preserve"> </w:t>
      </w:r>
      <w:r>
        <w:rPr>
          <w:rFonts w:ascii="仿宋" w:eastAsia="仿宋" w:hAnsi="仿宋" w:hint="eastAsia"/>
          <w:sz w:val="24"/>
          <w:szCs w:val="28"/>
        </w:rPr>
        <w:t>精修照片不少于</w:t>
      </w:r>
      <w:r w:rsidR="002038A7">
        <w:rPr>
          <w:rFonts w:ascii="仿宋" w:eastAsia="仿宋" w:hAnsi="仿宋" w:hint="eastAsia"/>
          <w:sz w:val="24"/>
          <w:szCs w:val="28"/>
        </w:rPr>
        <w:t>3</w:t>
      </w:r>
      <w:r>
        <w:rPr>
          <w:rFonts w:ascii="仿宋" w:eastAsia="仿宋" w:hAnsi="仿宋" w:hint="eastAsia"/>
          <w:sz w:val="24"/>
          <w:szCs w:val="28"/>
        </w:rPr>
        <w:t>0张，可播放视频2-3分钟及相关素材</w:t>
      </w:r>
    </w:p>
    <w:p w14:paraId="55AFDF25"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5201C18A" w14:textId="77777777" w:rsidR="00CB617B"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1、服务期限及地点:</w:t>
      </w:r>
    </w:p>
    <w:p w14:paraId="0C30889C" w14:textId="4460DE8E" w:rsidR="00CB617B"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服务期限：自合同签订起至</w:t>
      </w:r>
      <w:r w:rsidR="001B08BD">
        <w:rPr>
          <w:rFonts w:ascii="仿宋" w:eastAsia="仿宋" w:hAnsi="仿宋" w:hint="eastAsia"/>
          <w:sz w:val="24"/>
          <w:szCs w:val="28"/>
        </w:rPr>
        <w:t>2025年12月31日</w:t>
      </w:r>
      <w:r w:rsidR="002038A7" w:rsidRPr="002038A7">
        <w:rPr>
          <w:rFonts w:ascii="仿宋" w:eastAsia="仿宋" w:hAnsi="仿宋" w:hint="eastAsia"/>
          <w:sz w:val="24"/>
          <w:szCs w:val="28"/>
        </w:rPr>
        <w:t>完成全部交付</w:t>
      </w:r>
    </w:p>
    <w:p w14:paraId="57106AE7" w14:textId="6ACF9A17" w:rsidR="00703426" w:rsidRPr="00833A80"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服务地点：上海市工商外国语学校</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180C0F95" w14:textId="7E2FAC5C" w:rsidR="00703426" w:rsidRPr="00833A80"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项目</w:t>
      </w:r>
      <w:r w:rsidR="001B08BD">
        <w:rPr>
          <w:rFonts w:ascii="仿宋" w:eastAsia="仿宋" w:hAnsi="仿宋" w:hint="eastAsia"/>
          <w:sz w:val="24"/>
          <w:szCs w:val="28"/>
        </w:rPr>
        <w:t>完成全部成果交付后，经校方</w:t>
      </w:r>
      <w:r w:rsidR="001B08BD" w:rsidRPr="001B08BD">
        <w:rPr>
          <w:rFonts w:ascii="仿宋" w:eastAsia="仿宋" w:hAnsi="仿宋" w:hint="eastAsia"/>
          <w:sz w:val="24"/>
          <w:szCs w:val="28"/>
        </w:rPr>
        <w:t>满意度</w:t>
      </w:r>
      <w:proofErr w:type="gramStart"/>
      <w:r w:rsidR="001B08BD" w:rsidRPr="001B08BD">
        <w:rPr>
          <w:rFonts w:ascii="仿宋" w:eastAsia="仿宋" w:hAnsi="仿宋" w:hint="eastAsia"/>
          <w:sz w:val="24"/>
          <w:szCs w:val="28"/>
        </w:rPr>
        <w:t>反馈达</w:t>
      </w:r>
      <w:proofErr w:type="gramEnd"/>
      <w:r w:rsidR="001B08BD">
        <w:rPr>
          <w:rFonts w:ascii="仿宋" w:eastAsia="仿宋" w:hAnsi="仿宋" w:hint="eastAsia"/>
          <w:sz w:val="24"/>
          <w:szCs w:val="28"/>
        </w:rPr>
        <w:t>8</w:t>
      </w:r>
      <w:r w:rsidR="001B08BD" w:rsidRPr="001B08BD">
        <w:rPr>
          <w:rFonts w:ascii="仿宋" w:eastAsia="仿宋" w:hAnsi="仿宋" w:hint="eastAsia"/>
          <w:sz w:val="24"/>
          <w:szCs w:val="28"/>
        </w:rPr>
        <w:t>5分以上，一次性支付</w:t>
      </w:r>
      <w:r w:rsidR="001B08BD">
        <w:rPr>
          <w:rFonts w:ascii="仿宋" w:eastAsia="仿宋" w:hAnsi="仿宋" w:hint="eastAsia"/>
          <w:sz w:val="24"/>
          <w:szCs w:val="28"/>
        </w:rPr>
        <w:t>全部</w:t>
      </w:r>
      <w:r w:rsidR="001B08BD" w:rsidRPr="001B08BD">
        <w:rPr>
          <w:rFonts w:ascii="仿宋" w:eastAsia="仿宋" w:hAnsi="仿宋" w:hint="eastAsia"/>
          <w:sz w:val="24"/>
          <w:szCs w:val="28"/>
        </w:rPr>
        <w:t>费用</w:t>
      </w:r>
      <w:r w:rsidR="001B08BD">
        <w:rPr>
          <w:rFonts w:ascii="仿宋" w:eastAsia="仿宋" w:hAnsi="仿宋" w:hint="eastAsia"/>
          <w:sz w:val="24"/>
          <w:szCs w:val="28"/>
        </w:rPr>
        <w:t>。</w:t>
      </w:r>
    </w:p>
    <w:p w14:paraId="21BE7C1B"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p>
    <w:p w14:paraId="7409C02A" w14:textId="659A8EC2" w:rsidR="00386DEB" w:rsidRDefault="00CB617B" w:rsidP="00833A80">
      <w:pPr>
        <w:spacing w:line="360" w:lineRule="auto"/>
        <w:rPr>
          <w:rFonts w:ascii="仿宋" w:eastAsia="仿宋" w:hAnsi="仿宋" w:hint="eastAsia"/>
          <w:sz w:val="24"/>
          <w:szCs w:val="28"/>
        </w:rPr>
      </w:pPr>
      <w:r>
        <w:rPr>
          <w:rFonts w:ascii="仿宋" w:eastAsia="仿宋" w:hAnsi="仿宋" w:hint="eastAsia"/>
          <w:sz w:val="24"/>
          <w:szCs w:val="28"/>
        </w:rPr>
        <w:t>按照项目组要求执行</w:t>
      </w:r>
    </w:p>
    <w:p w14:paraId="6E8E91DC" w14:textId="77777777" w:rsidR="00386DEB" w:rsidRPr="00386DEB" w:rsidRDefault="00386DEB" w:rsidP="00386DEB">
      <w:pPr>
        <w:spacing w:line="360" w:lineRule="auto"/>
        <w:rPr>
          <w:rFonts w:ascii="仿宋" w:eastAsia="仿宋" w:hAnsi="仿宋" w:hint="eastAsia"/>
          <w:sz w:val="24"/>
          <w:szCs w:val="28"/>
        </w:rPr>
      </w:pPr>
      <w:r w:rsidRPr="00386DEB">
        <w:rPr>
          <w:rFonts w:ascii="仿宋" w:eastAsia="仿宋" w:hAnsi="仿宋" w:hint="eastAsia"/>
          <w:b/>
          <w:bCs/>
          <w:sz w:val="24"/>
          <w:szCs w:val="28"/>
        </w:rPr>
        <w:t>六、报价文件要求</w:t>
      </w:r>
    </w:p>
    <w:p w14:paraId="6E7E8FB1"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0"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1"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1"/>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217D6988" w:rsidR="00056961"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0"/>
    </w:p>
    <w:p w14:paraId="63464A4A" w14:textId="77777777" w:rsidR="00056961" w:rsidRDefault="00056961">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af9"/>
        <w:tblpPr w:leftFromText="180" w:rightFromText="180" w:horzAnchor="margin" w:tblpY="780"/>
        <w:tblW w:w="8075" w:type="dxa"/>
        <w:tblLayout w:type="fixed"/>
        <w:tblLook w:val="04A0" w:firstRow="1" w:lastRow="0" w:firstColumn="1" w:lastColumn="0" w:noHBand="0" w:noVBand="1"/>
      </w:tblPr>
      <w:tblGrid>
        <w:gridCol w:w="596"/>
        <w:gridCol w:w="1075"/>
        <w:gridCol w:w="6404"/>
      </w:tblGrid>
      <w:tr w:rsidR="00056961" w14:paraId="7192DE1B" w14:textId="77777777" w:rsidTr="00056961">
        <w:tc>
          <w:tcPr>
            <w:tcW w:w="596" w:type="dxa"/>
            <w:vAlign w:val="center"/>
          </w:tcPr>
          <w:p w14:paraId="633B56EC"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lastRenderedPageBreak/>
              <w:t>序号</w:t>
            </w:r>
          </w:p>
        </w:tc>
        <w:tc>
          <w:tcPr>
            <w:tcW w:w="1075" w:type="dxa"/>
            <w:vAlign w:val="center"/>
          </w:tcPr>
          <w:p w14:paraId="768293FE"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评分内容</w:t>
            </w:r>
          </w:p>
        </w:tc>
        <w:tc>
          <w:tcPr>
            <w:tcW w:w="6404" w:type="dxa"/>
            <w:vAlign w:val="center"/>
          </w:tcPr>
          <w:p w14:paraId="0A746592"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评审标准</w:t>
            </w:r>
          </w:p>
        </w:tc>
      </w:tr>
      <w:tr w:rsidR="00056961" w14:paraId="3EFA846D" w14:textId="77777777" w:rsidTr="00056961">
        <w:trPr>
          <w:trHeight w:val="1157"/>
        </w:trPr>
        <w:tc>
          <w:tcPr>
            <w:tcW w:w="596" w:type="dxa"/>
            <w:vAlign w:val="center"/>
          </w:tcPr>
          <w:p w14:paraId="2A5FB250"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1</w:t>
            </w:r>
          </w:p>
        </w:tc>
        <w:tc>
          <w:tcPr>
            <w:tcW w:w="1075" w:type="dxa"/>
            <w:vAlign w:val="center"/>
          </w:tcPr>
          <w:p w14:paraId="34486E52"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项目报价</w:t>
            </w:r>
          </w:p>
          <w:p w14:paraId="59BD0FA9"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20分</w:t>
            </w:r>
          </w:p>
        </w:tc>
        <w:tc>
          <w:tcPr>
            <w:tcW w:w="6404" w:type="dxa"/>
          </w:tcPr>
          <w:p w14:paraId="450EB85C" w14:textId="77777777" w:rsidR="00056961" w:rsidRPr="008C5363" w:rsidRDefault="00056961" w:rsidP="00056961">
            <w:pPr>
              <w:jc w:val="left"/>
              <w:rPr>
                <w:rFonts w:asciiTheme="minorEastAsia" w:hAnsiTheme="minorEastAsia" w:cs="宋体" w:hint="eastAsia"/>
                <w:bCs/>
                <w:sz w:val="22"/>
              </w:rPr>
            </w:pPr>
            <w:r w:rsidRPr="008C5363">
              <w:rPr>
                <w:rFonts w:asciiTheme="minorEastAsia" w:hAnsiTheme="minorEastAsia" w:cs="宋体" w:hint="eastAsia"/>
                <w:bCs/>
                <w:sz w:val="22"/>
              </w:rPr>
              <w:t>（1）满足招标文件要求，且投标价格最低的投标报价为基准价，得满分。</w:t>
            </w:r>
          </w:p>
          <w:p w14:paraId="60C385D3"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cs="宋体" w:hint="eastAsia"/>
                <w:bCs/>
                <w:sz w:val="22"/>
              </w:rPr>
              <w:t>（2）计算得分：投标报价得分=（评标基准价/投标报价）*</w:t>
            </w:r>
            <w:proofErr w:type="gramStart"/>
            <w:r w:rsidRPr="008C5363">
              <w:rPr>
                <w:rFonts w:asciiTheme="minorEastAsia" w:hAnsiTheme="minorEastAsia" w:cs="宋体" w:hint="eastAsia"/>
                <w:bCs/>
                <w:sz w:val="22"/>
              </w:rPr>
              <w:t>价格权</w:t>
            </w:r>
            <w:proofErr w:type="gramEnd"/>
            <w:r w:rsidRPr="008C5363">
              <w:rPr>
                <w:rFonts w:asciiTheme="minorEastAsia" w:hAnsiTheme="minorEastAsia" w:cs="宋体" w:hint="eastAsia"/>
                <w:bCs/>
                <w:sz w:val="22"/>
              </w:rPr>
              <w:t>值。</w:t>
            </w:r>
          </w:p>
        </w:tc>
      </w:tr>
      <w:tr w:rsidR="00056961" w14:paraId="142ECB8C" w14:textId="77777777" w:rsidTr="00056961">
        <w:trPr>
          <w:trHeight w:val="1157"/>
        </w:trPr>
        <w:tc>
          <w:tcPr>
            <w:tcW w:w="596" w:type="dxa"/>
            <w:vAlign w:val="center"/>
          </w:tcPr>
          <w:p w14:paraId="2BB71FD7"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2</w:t>
            </w:r>
          </w:p>
        </w:tc>
        <w:tc>
          <w:tcPr>
            <w:tcW w:w="1075" w:type="dxa"/>
            <w:vAlign w:val="center"/>
          </w:tcPr>
          <w:p w14:paraId="2B4D5792"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服务方案</w:t>
            </w:r>
          </w:p>
          <w:p w14:paraId="5125350F"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40分</w:t>
            </w:r>
          </w:p>
        </w:tc>
        <w:tc>
          <w:tcPr>
            <w:tcW w:w="6404" w:type="dxa"/>
          </w:tcPr>
          <w:p w14:paraId="1B71630F"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hint="eastAsia"/>
                <w:sz w:val="22"/>
              </w:rPr>
              <w:t>供应商提供的服务方案完善、合理可靠且细节考虑周全，得</w:t>
            </w:r>
            <w:r w:rsidRPr="008C5363">
              <w:rPr>
                <w:rFonts w:asciiTheme="minorEastAsia" w:hAnsiTheme="minorEastAsia"/>
                <w:sz w:val="22"/>
              </w:rPr>
              <w:t>25-</w:t>
            </w:r>
            <w:r w:rsidRPr="008C5363">
              <w:rPr>
                <w:rFonts w:asciiTheme="minorEastAsia" w:hAnsiTheme="minorEastAsia" w:hint="eastAsia"/>
                <w:sz w:val="22"/>
              </w:rPr>
              <w:t>40分；</w:t>
            </w:r>
          </w:p>
          <w:p w14:paraId="67F1EB6C"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hint="eastAsia"/>
                <w:sz w:val="22"/>
              </w:rPr>
              <w:t>供应商提供的服务方案</w:t>
            </w:r>
            <w:proofErr w:type="gramStart"/>
            <w:r w:rsidRPr="008C5363">
              <w:rPr>
                <w:rFonts w:asciiTheme="minorEastAsia" w:hAnsiTheme="minorEastAsia" w:hint="eastAsia"/>
                <w:sz w:val="22"/>
              </w:rPr>
              <w:t>基本响应</w:t>
            </w:r>
            <w:proofErr w:type="gramEnd"/>
            <w:r w:rsidRPr="008C5363">
              <w:rPr>
                <w:rFonts w:asciiTheme="minorEastAsia" w:hAnsiTheme="minorEastAsia" w:hint="eastAsia"/>
                <w:sz w:val="22"/>
              </w:rPr>
              <w:t>需求，较为合理可靠，得</w:t>
            </w:r>
            <w:r w:rsidRPr="008C5363">
              <w:rPr>
                <w:rFonts w:asciiTheme="minorEastAsia" w:hAnsiTheme="minorEastAsia"/>
                <w:sz w:val="22"/>
              </w:rPr>
              <w:t>15-24</w:t>
            </w:r>
            <w:r w:rsidRPr="008C5363">
              <w:rPr>
                <w:rFonts w:asciiTheme="minorEastAsia" w:hAnsiTheme="minorEastAsia" w:hint="eastAsia"/>
                <w:sz w:val="22"/>
              </w:rPr>
              <w:t>分；</w:t>
            </w:r>
          </w:p>
          <w:p w14:paraId="46E1782F"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hint="eastAsia"/>
                <w:sz w:val="22"/>
              </w:rPr>
              <w:t>供应商提供的服务方案不清晰或不合理，得</w:t>
            </w:r>
            <w:r w:rsidRPr="008C5363">
              <w:rPr>
                <w:rFonts w:asciiTheme="minorEastAsia" w:hAnsiTheme="minorEastAsia"/>
                <w:sz w:val="22"/>
              </w:rPr>
              <w:t>1-14</w:t>
            </w:r>
            <w:r w:rsidRPr="008C5363">
              <w:rPr>
                <w:rFonts w:asciiTheme="minorEastAsia" w:hAnsiTheme="minorEastAsia" w:hint="eastAsia"/>
                <w:sz w:val="22"/>
              </w:rPr>
              <w:t>分。</w:t>
            </w:r>
          </w:p>
        </w:tc>
      </w:tr>
      <w:tr w:rsidR="00056961" w14:paraId="343B1328" w14:textId="77777777" w:rsidTr="00056961">
        <w:trPr>
          <w:trHeight w:val="1157"/>
        </w:trPr>
        <w:tc>
          <w:tcPr>
            <w:tcW w:w="596" w:type="dxa"/>
            <w:vAlign w:val="center"/>
          </w:tcPr>
          <w:p w14:paraId="6243737A"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3</w:t>
            </w:r>
          </w:p>
        </w:tc>
        <w:tc>
          <w:tcPr>
            <w:tcW w:w="1075" w:type="dxa"/>
            <w:vAlign w:val="center"/>
          </w:tcPr>
          <w:p w14:paraId="50B2034F"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cs="宋体" w:hint="eastAsia"/>
                <w:sz w:val="22"/>
              </w:rPr>
              <w:t>类似项目业绩</w:t>
            </w:r>
          </w:p>
          <w:p w14:paraId="5835CE6E"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sz w:val="22"/>
              </w:rPr>
              <w:t>15</w:t>
            </w:r>
            <w:r w:rsidRPr="008C5363">
              <w:rPr>
                <w:rFonts w:asciiTheme="minorEastAsia" w:hAnsiTheme="minorEastAsia" w:hint="eastAsia"/>
                <w:sz w:val="22"/>
              </w:rPr>
              <w:t>分</w:t>
            </w:r>
          </w:p>
        </w:tc>
        <w:tc>
          <w:tcPr>
            <w:tcW w:w="6404" w:type="dxa"/>
          </w:tcPr>
          <w:p w14:paraId="233D3EE9"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hint="eastAsia"/>
                <w:sz w:val="22"/>
              </w:rPr>
              <w:t>近三年，具有类似项目业绩，以提供的合同或中标通知书为准：每提供1个得5分，满分</w:t>
            </w:r>
            <w:r w:rsidRPr="008C5363">
              <w:rPr>
                <w:rFonts w:asciiTheme="minorEastAsia" w:hAnsiTheme="minorEastAsia"/>
                <w:sz w:val="22"/>
              </w:rPr>
              <w:t>15</w:t>
            </w:r>
            <w:r w:rsidRPr="008C5363">
              <w:rPr>
                <w:rFonts w:asciiTheme="minorEastAsia" w:hAnsiTheme="minorEastAsia" w:hint="eastAsia"/>
                <w:sz w:val="22"/>
              </w:rPr>
              <w:t>分。</w:t>
            </w:r>
          </w:p>
        </w:tc>
      </w:tr>
      <w:tr w:rsidR="00056961" w14:paraId="362B45BB" w14:textId="77777777" w:rsidTr="00056961">
        <w:trPr>
          <w:trHeight w:val="1157"/>
        </w:trPr>
        <w:tc>
          <w:tcPr>
            <w:tcW w:w="596" w:type="dxa"/>
            <w:vAlign w:val="center"/>
          </w:tcPr>
          <w:p w14:paraId="595AB2EE"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4</w:t>
            </w:r>
          </w:p>
        </w:tc>
        <w:tc>
          <w:tcPr>
            <w:tcW w:w="1075" w:type="dxa"/>
            <w:vAlign w:val="center"/>
          </w:tcPr>
          <w:p w14:paraId="078F46A8"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增值服务</w:t>
            </w:r>
          </w:p>
          <w:p w14:paraId="1E96479E"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1</w:t>
            </w:r>
            <w:r w:rsidRPr="008C5363">
              <w:rPr>
                <w:rFonts w:asciiTheme="minorEastAsia" w:hAnsiTheme="minorEastAsia"/>
                <w:sz w:val="22"/>
              </w:rPr>
              <w:t>5</w:t>
            </w:r>
            <w:r w:rsidRPr="008C5363">
              <w:rPr>
                <w:rFonts w:asciiTheme="minorEastAsia" w:hAnsiTheme="minorEastAsia" w:hint="eastAsia"/>
                <w:sz w:val="22"/>
              </w:rPr>
              <w:t>分</w:t>
            </w:r>
          </w:p>
        </w:tc>
        <w:tc>
          <w:tcPr>
            <w:tcW w:w="6404" w:type="dxa"/>
          </w:tcPr>
          <w:p w14:paraId="06462ECD" w14:textId="77777777" w:rsidR="00056961" w:rsidRPr="008C5363" w:rsidRDefault="00056961" w:rsidP="00056961">
            <w:pPr>
              <w:pStyle w:val="Style2"/>
              <w:ind w:firstLineChars="0" w:firstLine="0"/>
              <w:jc w:val="left"/>
              <w:rPr>
                <w:rFonts w:asciiTheme="minorEastAsia" w:eastAsiaTheme="minorEastAsia" w:hAnsiTheme="minorEastAsia" w:cs="宋体" w:hint="eastAsia"/>
                <w:sz w:val="22"/>
                <w:szCs w:val="22"/>
              </w:rPr>
            </w:pPr>
            <w:r w:rsidRPr="008C5363">
              <w:rPr>
                <w:rFonts w:asciiTheme="minorEastAsia" w:eastAsiaTheme="minorEastAsia" w:hAnsiTheme="minorEastAsia" w:cs="宋体" w:hint="eastAsia"/>
                <w:sz w:val="22"/>
                <w:szCs w:val="22"/>
              </w:rPr>
              <w:t>根据供应商提供的增值服务进行评分</w:t>
            </w:r>
          </w:p>
          <w:p w14:paraId="4D7E1D01" w14:textId="77777777" w:rsidR="00056961" w:rsidRPr="008C5363" w:rsidRDefault="00056961" w:rsidP="00056961">
            <w:pPr>
              <w:pStyle w:val="Style2"/>
              <w:ind w:firstLineChars="0" w:firstLine="0"/>
              <w:jc w:val="left"/>
              <w:rPr>
                <w:rFonts w:asciiTheme="minorEastAsia" w:eastAsiaTheme="minorEastAsia" w:hAnsiTheme="minorEastAsia" w:cs="宋体" w:hint="eastAsia"/>
                <w:sz w:val="22"/>
                <w:szCs w:val="22"/>
              </w:rPr>
            </w:pPr>
            <w:r w:rsidRPr="008C5363">
              <w:rPr>
                <w:rFonts w:asciiTheme="minorEastAsia" w:eastAsiaTheme="minorEastAsia" w:hAnsiTheme="minorEastAsia" w:cs="宋体" w:hint="eastAsia"/>
                <w:sz w:val="22"/>
                <w:szCs w:val="22"/>
              </w:rPr>
              <w:t>提出的增值服务具有很强的合理性，可操作性好，得13-15分</w:t>
            </w:r>
          </w:p>
          <w:p w14:paraId="7A2B817B" w14:textId="77777777" w:rsidR="00056961" w:rsidRPr="008C5363" w:rsidRDefault="00056961" w:rsidP="00056961">
            <w:pPr>
              <w:pStyle w:val="Style2"/>
              <w:ind w:firstLineChars="0" w:firstLine="0"/>
              <w:jc w:val="left"/>
              <w:rPr>
                <w:rFonts w:asciiTheme="minorEastAsia" w:eastAsiaTheme="minorEastAsia" w:hAnsiTheme="minorEastAsia" w:cs="宋体" w:hint="eastAsia"/>
                <w:sz w:val="22"/>
                <w:szCs w:val="22"/>
              </w:rPr>
            </w:pPr>
            <w:r w:rsidRPr="008C5363">
              <w:rPr>
                <w:rFonts w:asciiTheme="minorEastAsia" w:eastAsiaTheme="minorEastAsia" w:hAnsiTheme="minorEastAsia" w:cs="宋体" w:hint="eastAsia"/>
                <w:sz w:val="22"/>
                <w:szCs w:val="22"/>
              </w:rPr>
              <w:t>提出的增值服务具有一定的合理性，可操作性一般，得8-12分</w:t>
            </w:r>
          </w:p>
          <w:p w14:paraId="72134EE1" w14:textId="77777777" w:rsidR="00056961" w:rsidRPr="008C5363" w:rsidRDefault="00056961" w:rsidP="00056961">
            <w:pPr>
              <w:pStyle w:val="Style2"/>
              <w:ind w:firstLineChars="0" w:firstLine="0"/>
              <w:jc w:val="left"/>
              <w:rPr>
                <w:rFonts w:asciiTheme="minorEastAsia" w:eastAsiaTheme="minorEastAsia" w:hAnsiTheme="minorEastAsia" w:cs="宋体" w:hint="eastAsia"/>
                <w:sz w:val="22"/>
                <w:szCs w:val="22"/>
              </w:rPr>
            </w:pPr>
            <w:r w:rsidRPr="008C5363">
              <w:rPr>
                <w:rFonts w:asciiTheme="minorEastAsia" w:eastAsiaTheme="minorEastAsia" w:hAnsiTheme="minorEastAsia" w:cs="宋体" w:hint="eastAsia"/>
                <w:sz w:val="22"/>
                <w:szCs w:val="22"/>
              </w:rPr>
              <w:t>提出的增值服务针对较差，较粗糙，得5-8分</w:t>
            </w:r>
          </w:p>
          <w:p w14:paraId="69C61009" w14:textId="77777777" w:rsidR="00056961" w:rsidRPr="008C5363" w:rsidRDefault="00056961" w:rsidP="00056961">
            <w:pPr>
              <w:spacing w:line="360" w:lineRule="auto"/>
              <w:jc w:val="left"/>
              <w:rPr>
                <w:rFonts w:asciiTheme="minorEastAsia" w:hAnsiTheme="minorEastAsia" w:hint="eastAsia"/>
                <w:sz w:val="22"/>
              </w:rPr>
            </w:pPr>
            <w:r w:rsidRPr="008C5363">
              <w:rPr>
                <w:rFonts w:asciiTheme="minorEastAsia" w:hAnsiTheme="minorEastAsia" w:cs="宋体" w:hint="eastAsia"/>
                <w:bCs/>
                <w:sz w:val="22"/>
              </w:rPr>
              <w:t>未提供相关内容或方案与项目要求不相关的，得0-4分</w:t>
            </w:r>
          </w:p>
        </w:tc>
      </w:tr>
      <w:tr w:rsidR="00056961" w14:paraId="7C276868" w14:textId="77777777" w:rsidTr="00056961">
        <w:trPr>
          <w:trHeight w:val="1157"/>
        </w:trPr>
        <w:tc>
          <w:tcPr>
            <w:tcW w:w="596" w:type="dxa"/>
            <w:vAlign w:val="center"/>
          </w:tcPr>
          <w:p w14:paraId="351ED5A6"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5</w:t>
            </w:r>
          </w:p>
        </w:tc>
        <w:tc>
          <w:tcPr>
            <w:tcW w:w="1075" w:type="dxa"/>
            <w:vAlign w:val="center"/>
          </w:tcPr>
          <w:p w14:paraId="7AF71C6A"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售后服务</w:t>
            </w:r>
          </w:p>
          <w:p w14:paraId="750A09E9"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10分</w:t>
            </w:r>
          </w:p>
        </w:tc>
        <w:tc>
          <w:tcPr>
            <w:tcW w:w="6404" w:type="dxa"/>
          </w:tcPr>
          <w:p w14:paraId="1D2B3625" w14:textId="77777777" w:rsidR="00056961" w:rsidRPr="008C5363" w:rsidRDefault="00056961" w:rsidP="00056961">
            <w:pPr>
              <w:jc w:val="left"/>
              <w:rPr>
                <w:rFonts w:asciiTheme="minorEastAsia" w:hAnsiTheme="minorEastAsia" w:hint="eastAsia"/>
                <w:sz w:val="22"/>
              </w:rPr>
            </w:pPr>
            <w:r w:rsidRPr="008C5363">
              <w:rPr>
                <w:rFonts w:asciiTheme="minorEastAsia" w:hAnsiTheme="minorEastAsia"/>
                <w:sz w:val="22"/>
              </w:rPr>
              <w:t xml:space="preserve">后续支持（5 分）：活动结束后提供不少于 </w:t>
            </w:r>
            <w:r w:rsidRPr="008C5363">
              <w:rPr>
                <w:rFonts w:asciiTheme="minorEastAsia" w:hAnsiTheme="minorEastAsia" w:hint="eastAsia"/>
                <w:sz w:val="22"/>
              </w:rPr>
              <w:t>5</w:t>
            </w:r>
            <w:r w:rsidRPr="008C5363">
              <w:rPr>
                <w:rFonts w:asciiTheme="minorEastAsia" w:hAnsiTheme="minorEastAsia"/>
                <w:sz w:val="22"/>
              </w:rPr>
              <w:t>个工作日的后续支持</w:t>
            </w:r>
            <w:r w:rsidRPr="008C5363">
              <w:rPr>
                <w:rFonts w:asciiTheme="minorEastAsia" w:hAnsiTheme="minorEastAsia" w:hint="eastAsia"/>
                <w:sz w:val="22"/>
              </w:rPr>
              <w:t>，包括现场材料拆除、清运等</w:t>
            </w:r>
            <w:r w:rsidRPr="008C5363">
              <w:rPr>
                <w:rFonts w:asciiTheme="minorEastAsia" w:hAnsiTheme="minorEastAsia"/>
                <w:sz w:val="22"/>
              </w:rPr>
              <w:t>，得 3-5 分；提供后续支持但期限不足 1</w:t>
            </w:r>
            <w:r w:rsidRPr="008C5363">
              <w:rPr>
                <w:rFonts w:asciiTheme="minorEastAsia" w:hAnsiTheme="minorEastAsia" w:hint="eastAsia"/>
                <w:sz w:val="22"/>
              </w:rPr>
              <w:t>5</w:t>
            </w:r>
            <w:r w:rsidRPr="008C5363">
              <w:rPr>
                <w:rFonts w:asciiTheme="minorEastAsia" w:hAnsiTheme="minorEastAsia"/>
                <w:sz w:val="22"/>
              </w:rPr>
              <w:t>个工作日或响应较慢，得 1-2 分；无后续支持承诺，得 0 分。</w:t>
            </w:r>
          </w:p>
          <w:p w14:paraId="1DC8DEB8" w14:textId="77777777" w:rsidR="00056961" w:rsidRPr="008C5363" w:rsidRDefault="00056961" w:rsidP="00056961">
            <w:pPr>
              <w:pStyle w:val="Style2"/>
              <w:ind w:firstLineChars="0" w:firstLine="0"/>
              <w:jc w:val="left"/>
              <w:rPr>
                <w:rFonts w:asciiTheme="minorEastAsia" w:eastAsiaTheme="minorEastAsia" w:hAnsiTheme="minorEastAsia" w:cs="宋体" w:hint="eastAsia"/>
                <w:sz w:val="22"/>
                <w:szCs w:val="22"/>
              </w:rPr>
            </w:pPr>
            <w:r w:rsidRPr="008C5363">
              <w:rPr>
                <w:rFonts w:asciiTheme="minorEastAsia" w:eastAsiaTheme="minorEastAsia" w:hAnsiTheme="minorEastAsia"/>
                <w:sz w:val="22"/>
                <w:szCs w:val="22"/>
              </w:rPr>
              <w:t>问题处理（5 分）：承诺对活动后续可能出现的遗留问题、成果交付异议等及时跟进处理，解决方案明确，得 3-5 分；有问题处理承诺但方案不清晰，得 1-2 分；无问题处理承诺，得 0 分。</w:t>
            </w:r>
          </w:p>
        </w:tc>
      </w:tr>
      <w:tr w:rsidR="00056961" w14:paraId="5F5D044E" w14:textId="77777777" w:rsidTr="00056961">
        <w:trPr>
          <w:trHeight w:val="561"/>
        </w:trPr>
        <w:tc>
          <w:tcPr>
            <w:tcW w:w="596" w:type="dxa"/>
            <w:vAlign w:val="center"/>
          </w:tcPr>
          <w:p w14:paraId="0EDD5452" w14:textId="77777777" w:rsidR="00056961" w:rsidRPr="008C5363" w:rsidRDefault="00056961" w:rsidP="00056961">
            <w:pPr>
              <w:jc w:val="center"/>
              <w:rPr>
                <w:rFonts w:asciiTheme="minorEastAsia" w:hAnsiTheme="minorEastAsia" w:hint="eastAsia"/>
                <w:sz w:val="22"/>
              </w:rPr>
            </w:pPr>
          </w:p>
        </w:tc>
        <w:tc>
          <w:tcPr>
            <w:tcW w:w="1075" w:type="dxa"/>
            <w:vAlign w:val="center"/>
          </w:tcPr>
          <w:p w14:paraId="5BF88F0D"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总分</w:t>
            </w:r>
          </w:p>
          <w:p w14:paraId="6994C794" w14:textId="77777777" w:rsidR="00056961" w:rsidRPr="008C5363" w:rsidRDefault="00056961" w:rsidP="00056961">
            <w:pPr>
              <w:jc w:val="center"/>
              <w:rPr>
                <w:rFonts w:asciiTheme="minorEastAsia" w:hAnsiTheme="minorEastAsia" w:hint="eastAsia"/>
                <w:sz w:val="22"/>
              </w:rPr>
            </w:pPr>
            <w:r w:rsidRPr="008C5363">
              <w:rPr>
                <w:rFonts w:asciiTheme="minorEastAsia" w:hAnsiTheme="minorEastAsia" w:hint="eastAsia"/>
                <w:sz w:val="22"/>
              </w:rPr>
              <w:t>100分</w:t>
            </w:r>
          </w:p>
        </w:tc>
        <w:tc>
          <w:tcPr>
            <w:tcW w:w="6404" w:type="dxa"/>
          </w:tcPr>
          <w:p w14:paraId="0BB95B26" w14:textId="77777777" w:rsidR="00056961" w:rsidRPr="008C5363" w:rsidRDefault="00056961" w:rsidP="00056961">
            <w:pPr>
              <w:jc w:val="center"/>
              <w:rPr>
                <w:rFonts w:asciiTheme="minorEastAsia" w:hAnsiTheme="minorEastAsia" w:hint="eastAsia"/>
                <w:sz w:val="22"/>
              </w:rPr>
            </w:pPr>
          </w:p>
        </w:tc>
      </w:tr>
    </w:tbl>
    <w:p w14:paraId="3D3125A1" w14:textId="6564F2C9" w:rsidR="00192128" w:rsidRPr="00695CC4" w:rsidRDefault="00056961" w:rsidP="00C50E93">
      <w:pPr>
        <w:spacing w:line="360" w:lineRule="auto"/>
        <w:rPr>
          <w:rFonts w:ascii="仿宋" w:eastAsia="仿宋" w:hAnsi="仿宋" w:hint="eastAsia"/>
          <w:sz w:val="24"/>
          <w:szCs w:val="28"/>
        </w:rPr>
      </w:pPr>
      <w:r>
        <w:rPr>
          <w:rFonts w:ascii="仿宋" w:eastAsia="仿宋" w:hAnsi="仿宋" w:hint="eastAsia"/>
          <w:sz w:val="24"/>
          <w:szCs w:val="28"/>
        </w:rPr>
        <w:t>评分标准：</w:t>
      </w:r>
    </w:p>
    <w:sectPr w:rsidR="00192128"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71C4" w14:textId="77777777" w:rsidR="001E17CF" w:rsidRDefault="001E17CF" w:rsidP="00833A80">
      <w:pPr>
        <w:rPr>
          <w:rFonts w:hint="eastAsia"/>
        </w:rPr>
      </w:pPr>
      <w:r>
        <w:separator/>
      </w:r>
    </w:p>
  </w:endnote>
  <w:endnote w:type="continuationSeparator" w:id="0">
    <w:p w14:paraId="4A09B648" w14:textId="77777777" w:rsidR="001E17CF" w:rsidRDefault="001E17CF"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461E" w14:textId="77777777" w:rsidR="001E17CF" w:rsidRDefault="001E17CF" w:rsidP="00833A80">
      <w:pPr>
        <w:rPr>
          <w:rFonts w:hint="eastAsia"/>
        </w:rPr>
      </w:pPr>
      <w:r>
        <w:separator/>
      </w:r>
    </w:p>
  </w:footnote>
  <w:footnote w:type="continuationSeparator" w:id="0">
    <w:p w14:paraId="6809DD65" w14:textId="77777777" w:rsidR="001E17CF" w:rsidRDefault="001E17CF"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53962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322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531A8"/>
    <w:rsid w:val="00056961"/>
    <w:rsid w:val="000F01F7"/>
    <w:rsid w:val="001129F2"/>
    <w:rsid w:val="001618A8"/>
    <w:rsid w:val="00192128"/>
    <w:rsid w:val="001B08BD"/>
    <w:rsid w:val="001B7703"/>
    <w:rsid w:val="001E17CF"/>
    <w:rsid w:val="002038A7"/>
    <w:rsid w:val="0023779F"/>
    <w:rsid w:val="00305187"/>
    <w:rsid w:val="00386DEB"/>
    <w:rsid w:val="003A489D"/>
    <w:rsid w:val="0042309A"/>
    <w:rsid w:val="004319BC"/>
    <w:rsid w:val="004921F4"/>
    <w:rsid w:val="004A1E7F"/>
    <w:rsid w:val="004A3521"/>
    <w:rsid w:val="004D6F2E"/>
    <w:rsid w:val="00513E98"/>
    <w:rsid w:val="005B2AB0"/>
    <w:rsid w:val="005C3327"/>
    <w:rsid w:val="006056F4"/>
    <w:rsid w:val="00642269"/>
    <w:rsid w:val="006565D3"/>
    <w:rsid w:val="00695CC4"/>
    <w:rsid w:val="006A42BF"/>
    <w:rsid w:val="006F53D0"/>
    <w:rsid w:val="00703426"/>
    <w:rsid w:val="007E5949"/>
    <w:rsid w:val="00833A80"/>
    <w:rsid w:val="0084177A"/>
    <w:rsid w:val="00AC4470"/>
    <w:rsid w:val="00AD7F70"/>
    <w:rsid w:val="00B31167"/>
    <w:rsid w:val="00C37FF8"/>
    <w:rsid w:val="00C50E93"/>
    <w:rsid w:val="00C741E9"/>
    <w:rsid w:val="00CB2958"/>
    <w:rsid w:val="00CB617B"/>
    <w:rsid w:val="00DC4251"/>
    <w:rsid w:val="00E13FA3"/>
    <w:rsid w:val="00FE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character" w:styleId="af2">
    <w:name w:val="annotation reference"/>
    <w:basedOn w:val="a0"/>
    <w:uiPriority w:val="99"/>
    <w:semiHidden/>
    <w:unhideWhenUsed/>
    <w:rsid w:val="00FE5C87"/>
    <w:rPr>
      <w:sz w:val="21"/>
      <w:szCs w:val="21"/>
    </w:rPr>
  </w:style>
  <w:style w:type="paragraph" w:styleId="af3">
    <w:name w:val="annotation text"/>
    <w:basedOn w:val="a"/>
    <w:link w:val="af4"/>
    <w:uiPriority w:val="99"/>
    <w:semiHidden/>
    <w:unhideWhenUsed/>
    <w:rsid w:val="00FE5C87"/>
    <w:pPr>
      <w:jc w:val="left"/>
    </w:pPr>
  </w:style>
  <w:style w:type="character" w:customStyle="1" w:styleId="af4">
    <w:name w:val="批注文字 字符"/>
    <w:basedOn w:val="a0"/>
    <w:link w:val="af3"/>
    <w:uiPriority w:val="99"/>
    <w:semiHidden/>
    <w:rsid w:val="00FE5C87"/>
  </w:style>
  <w:style w:type="paragraph" w:styleId="af5">
    <w:name w:val="annotation subject"/>
    <w:basedOn w:val="af3"/>
    <w:next w:val="af3"/>
    <w:link w:val="af6"/>
    <w:uiPriority w:val="99"/>
    <w:semiHidden/>
    <w:unhideWhenUsed/>
    <w:rsid w:val="00FE5C87"/>
    <w:rPr>
      <w:b/>
      <w:bCs/>
    </w:rPr>
  </w:style>
  <w:style w:type="character" w:customStyle="1" w:styleId="af6">
    <w:name w:val="批注主题 字符"/>
    <w:basedOn w:val="af4"/>
    <w:link w:val="af5"/>
    <w:uiPriority w:val="99"/>
    <w:semiHidden/>
    <w:rsid w:val="00FE5C87"/>
    <w:rPr>
      <w:b/>
      <w:bCs/>
    </w:rPr>
  </w:style>
  <w:style w:type="paragraph" w:styleId="af7">
    <w:name w:val="Balloon Text"/>
    <w:basedOn w:val="a"/>
    <w:link w:val="af8"/>
    <w:uiPriority w:val="99"/>
    <w:semiHidden/>
    <w:unhideWhenUsed/>
    <w:rsid w:val="00FE5C87"/>
    <w:rPr>
      <w:sz w:val="18"/>
      <w:szCs w:val="18"/>
    </w:rPr>
  </w:style>
  <w:style w:type="character" w:customStyle="1" w:styleId="af8">
    <w:name w:val="批注框文本 字符"/>
    <w:basedOn w:val="a0"/>
    <w:link w:val="af7"/>
    <w:uiPriority w:val="99"/>
    <w:semiHidden/>
    <w:rsid w:val="00FE5C87"/>
    <w:rPr>
      <w:sz w:val="18"/>
      <w:szCs w:val="18"/>
    </w:rPr>
  </w:style>
  <w:style w:type="table" w:styleId="af9">
    <w:name w:val="Table Grid"/>
    <w:basedOn w:val="a1"/>
    <w:uiPriority w:val="59"/>
    <w:qFormat/>
    <w:rsid w:val="0005696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056961"/>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11</cp:revision>
  <dcterms:created xsi:type="dcterms:W3CDTF">2025-11-26T01:38:00Z</dcterms:created>
  <dcterms:modified xsi:type="dcterms:W3CDTF">2025-12-01T08:20:00Z</dcterms:modified>
</cp:coreProperties>
</file>