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A124B">
      <w:pPr>
        <w:pStyle w:val="3"/>
        <w:spacing w:before="180" w:line="360" w:lineRule="auto"/>
        <w:jc w:val="center"/>
        <w:outlineLvl w:val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cs="宋体"/>
          <w:b/>
          <w:bCs/>
          <w:spacing w:val="-4"/>
          <w:sz w:val="21"/>
          <w:szCs w:val="21"/>
          <w:lang w:eastAsia="zh-CN"/>
        </w:rPr>
        <w:t>云实训教学设备项目</w:t>
      </w: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竞争性磋商公告</w:t>
      </w:r>
    </w:p>
    <w:p w14:paraId="068BA470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27EE72A6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649A2A14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根据《中华人民共和国政府采购法》及相关法律、法规之规定，</w:t>
      </w:r>
      <w:r>
        <w:rPr>
          <w:rFonts w:hint="eastAsia" w:ascii="宋体" w:hAnsi="宋体" w:eastAsia="宋体" w:cs="宋体"/>
          <w:spacing w:val="-4"/>
          <w:sz w:val="21"/>
          <w:szCs w:val="21"/>
          <w:lang w:eastAsia="zh-CN"/>
        </w:rPr>
        <w:t>上海健生教育配置招标有限公司</w:t>
      </w:r>
      <w:r>
        <w:rPr>
          <w:rFonts w:hint="eastAsia" w:ascii="宋体" w:hAnsi="宋体" w:eastAsia="宋体" w:cs="宋体"/>
          <w:sz w:val="21"/>
          <w:szCs w:val="21"/>
        </w:rPr>
        <w:t>受委托，对</w:t>
      </w:r>
      <w:r>
        <w:rPr>
          <w:rFonts w:hint="eastAsia" w:cs="宋体"/>
          <w:sz w:val="21"/>
          <w:szCs w:val="21"/>
          <w:lang w:eastAsia="zh-CN"/>
        </w:rPr>
        <w:t>云实训教学设备项目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进行竞争性磋商采购，特邀请合格的供应商参加磋商。</w:t>
      </w:r>
    </w:p>
    <w:p w14:paraId="3136E443">
      <w:pPr>
        <w:pStyle w:val="3"/>
        <w:spacing w:line="360" w:lineRule="auto"/>
        <w:ind w:left="50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一、项目概况</w:t>
      </w:r>
    </w:p>
    <w:p w14:paraId="1E6BFF8B">
      <w:pPr>
        <w:pStyle w:val="3"/>
        <w:spacing w:before="182" w:line="360" w:lineRule="auto"/>
        <w:ind w:left="521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1.项目名称：</w:t>
      </w:r>
      <w:r>
        <w:rPr>
          <w:rFonts w:hint="eastAsia" w:cs="宋体"/>
          <w:spacing w:val="-1"/>
          <w:sz w:val="21"/>
          <w:szCs w:val="21"/>
          <w:lang w:eastAsia="zh-CN"/>
        </w:rPr>
        <w:t>云实训教学设备项目</w:t>
      </w:r>
    </w:p>
    <w:p w14:paraId="082F62B6">
      <w:pPr>
        <w:pStyle w:val="3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2.项目编号：</w:t>
      </w:r>
      <w:r>
        <w:rPr>
          <w:rFonts w:hint="eastAsia" w:cs="宋体"/>
          <w:spacing w:val="-1"/>
          <w:sz w:val="21"/>
          <w:szCs w:val="21"/>
          <w:lang w:eastAsia="zh-CN"/>
        </w:rPr>
        <w:t>J</w:t>
      </w:r>
      <w:r>
        <w:rPr>
          <w:rFonts w:hint="eastAsia" w:cs="宋体"/>
          <w:spacing w:val="-1"/>
          <w:sz w:val="21"/>
          <w:szCs w:val="21"/>
          <w:highlight w:val="none"/>
          <w:lang w:eastAsia="zh-CN"/>
        </w:rPr>
        <w:t>SCS26080713-N106</w:t>
      </w:r>
    </w:p>
    <w:p w14:paraId="6EC98629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3.预算金额：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50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万元</w:t>
      </w:r>
    </w:p>
    <w:p w14:paraId="7AB05379">
      <w:pPr>
        <w:pStyle w:val="3"/>
        <w:spacing w:before="78" w:line="360" w:lineRule="auto"/>
        <w:ind w:left="22" w:right="99" w:firstLine="480"/>
        <w:jc w:val="both"/>
        <w:rPr>
          <w:rFonts w:hint="default" w:ascii="宋体" w:hAnsi="宋体" w:eastAsia="宋体" w:cs="宋体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4.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交货期：自合同签订之日起30个工作日，2026年10月31日前完成校内部署；免费质保期：1年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。</w:t>
      </w:r>
    </w:p>
    <w:p w14:paraId="1058C322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5.项目地址：上海市徐汇区百色支路 35 号</w:t>
      </w:r>
    </w:p>
    <w:p w14:paraId="4AEB1F49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6.项目概况：</w:t>
      </w:r>
    </w:p>
    <w:p w14:paraId="2CE0D97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000000"/>
          <w:kern w:val="2"/>
          <w:sz w:val="21"/>
          <w:szCs w:val="21"/>
          <w:lang w:val="en-US" w:eastAsia="zh-CN" w:bidi="ar"/>
        </w:rPr>
        <w:t xml:space="preserve">1、服务内容、要求、质量: </w:t>
      </w:r>
    </w:p>
    <w:p w14:paraId="0BC3BED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供应商需完成虚拟仿真实训管理设备、虚拟仿真实训计算设备和GPU计算设备的安装调试与培训工作。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790"/>
        <w:gridCol w:w="5475"/>
        <w:gridCol w:w="520"/>
        <w:gridCol w:w="623"/>
        <w:gridCol w:w="623"/>
      </w:tblGrid>
      <w:tr w14:paraId="11D0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302" w:type="pct"/>
            <w:vAlign w:val="center"/>
          </w:tcPr>
          <w:p w14:paraId="04755C05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462" w:type="pct"/>
            <w:vAlign w:val="center"/>
          </w:tcPr>
          <w:p w14:paraId="54A6DAC4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货品名称</w:t>
            </w:r>
          </w:p>
        </w:tc>
        <w:tc>
          <w:tcPr>
            <w:tcW w:w="3200" w:type="pct"/>
            <w:vAlign w:val="center"/>
          </w:tcPr>
          <w:p w14:paraId="217A55EA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技术参数</w:t>
            </w:r>
          </w:p>
        </w:tc>
        <w:tc>
          <w:tcPr>
            <w:tcW w:w="304" w:type="pct"/>
            <w:vAlign w:val="center"/>
          </w:tcPr>
          <w:p w14:paraId="40771C56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364" w:type="pct"/>
            <w:vAlign w:val="center"/>
          </w:tcPr>
          <w:p w14:paraId="657D6848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</w:t>
            </w:r>
          </w:p>
        </w:tc>
        <w:tc>
          <w:tcPr>
            <w:tcW w:w="364" w:type="pct"/>
          </w:tcPr>
          <w:p w14:paraId="721EA9EE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质保期</w:t>
            </w:r>
          </w:p>
        </w:tc>
      </w:tr>
      <w:tr w14:paraId="3992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02" w:type="pct"/>
            <w:vAlign w:val="center"/>
          </w:tcPr>
          <w:p w14:paraId="08B94E9B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62" w:type="pct"/>
            <w:vAlign w:val="center"/>
          </w:tcPr>
          <w:p w14:paraId="63F57BBF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虚拟仿真实训管理设备</w:t>
            </w:r>
          </w:p>
        </w:tc>
        <w:tc>
          <w:tcPr>
            <w:tcW w:w="3200" w:type="pct"/>
            <w:vAlign w:val="center"/>
          </w:tcPr>
          <w:p w14:paraId="093C5C9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一、硬件配置及性能指标</w:t>
            </w:r>
          </w:p>
          <w:p w14:paraId="70836398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1、专用虚拟化平台，固化业务背板，固化万兆网络接口≥2个，外接USB口≥2个；</w:t>
            </w:r>
          </w:p>
          <w:p w14:paraId="5E00D64F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2、系统及数据采用纯SSD硬盘架构。SSD系统盘容量配置不低于240G，SSD数据盘容量配置不低于1T*3，DDR4内存不低于832G；</w:t>
            </w:r>
          </w:p>
          <w:p w14:paraId="21BAD37F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3、采用双颗CPU，单颗CPU内核不少于20核，主频不低于2.2GHz</w:t>
            </w:r>
          </w:p>
          <w:p w14:paraId="581F4AB2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二、系统管理模块</w:t>
            </w:r>
          </w:p>
          <w:p w14:paraId="6521B8ED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1、系统采用B/S架构设计，支持多种浏览器包括不限于Chrome、Firefox、360；</w:t>
            </w:r>
          </w:p>
          <w:p w14:paraId="52F0D46C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2、管理端提供完整的系统级管理功能，支持多维度的数据统计和监控；</w:t>
            </w:r>
          </w:p>
          <w:p w14:paraId="3B4F8F0A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管理员可通过直观的仪表盘界面实时查看系统运行状态、用户活跃度、资源使用情况等关键指标，包括CPU使用率，内存使用率，网络流量，磁盘IO；请提供产品功能对应截图并说明；</w:t>
            </w:r>
          </w:p>
          <w:p w14:paraId="257581AD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4、系统提供详细的操作日志记录，确保所有管理操作的可追溯性。</w:t>
            </w:r>
          </w:p>
          <w:p w14:paraId="00E75C9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支持平台内部功能快速操作，包括添加课程，添加虚拟机，添加用户，添加班级，分配存储空间；请提供产品功能对应截图并说明；</w:t>
            </w:r>
          </w:p>
          <w:p w14:paraId="512AF91A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三、虚拟机管理模块</w:t>
            </w:r>
          </w:p>
          <w:p w14:paraId="31BFDC2D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1、提供全生命周期的虚拟机管理功能，支持虚拟机的创建、启动、停止、重启、删除等基础操作；</w:t>
            </w:r>
          </w:p>
          <w:p w14:paraId="6BDC22CA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2、集成Proxmox VE 平台，支持虚拟机模板管理、快照功能、克隆操作，实现虚拟机的快速部署和环境恢复；</w:t>
            </w:r>
          </w:p>
          <w:p w14:paraId="3D3D438A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3、支持管理员对平台所有虚拟机进行批量启动，批量删除，批量停止，批量重启功能；</w:t>
            </w:r>
          </w:p>
          <w:p w14:paraId="78424766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4、支持虚拟机性能监控，包括CPU使用率，内存使用率，创建时间，运行时间；</w:t>
            </w:r>
          </w:p>
          <w:p w14:paraId="7B0D869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四、课程管理模块</w:t>
            </w:r>
          </w:p>
          <w:p w14:paraId="31136295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支持管理所有课程，包括创建课程，批量创建，下载模板，批量删除，批量导出；请提供产品功能对应截图并说明；</w:t>
            </w:r>
          </w:p>
          <w:p w14:paraId="673A4A15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2、支持展示课程真实情况，包括总课程数，注册学生数，进行中课程，作业总数；</w:t>
            </w:r>
          </w:p>
          <w:p w14:paraId="131D9920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支持课程编辑、查看功能，包括课程信息，授课教师，网段，状态，学生总数，虚拟机总数，作业总数，开始时间，结束时间，创建时间；请提供产品功能对应截图并说明；</w:t>
            </w:r>
          </w:p>
          <w:p w14:paraId="7070493C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支持课程学生分配管理，虚拟机分配管理，网段设置和课程数据导出；请提供产品功能对应截图并说明；</w:t>
            </w:r>
          </w:p>
          <w:p w14:paraId="7F64744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五、班级管理模块</w:t>
            </w:r>
          </w:p>
          <w:p w14:paraId="041313D9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1、支持管理所有班级，包括创建班级，批量创建，下载模板，批量删除，批量导出；</w:t>
            </w:r>
          </w:p>
          <w:p w14:paraId="23FD603B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2、支持展示班级真实情况，包括总班级数，总学生数，平均每班人数，未分班学生；</w:t>
            </w:r>
          </w:p>
          <w:p w14:paraId="181990D3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3、支持班级编辑、查看功能，包括班级名称，院系，年级，学生数量，创建时间描述；</w:t>
            </w:r>
          </w:p>
          <w:p w14:paraId="3BF1C2F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4、支持班级学生分配管理，导出班级名单；</w:t>
            </w:r>
          </w:p>
          <w:p w14:paraId="54C3D8F3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六、用户管理模块</w:t>
            </w:r>
          </w:p>
          <w:p w14:paraId="0E80FCF6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1、支持多角色用户管理体系，包括管理员、教师、学生三级权限控制；</w:t>
            </w:r>
          </w:p>
          <w:p w14:paraId="649475A5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2、管理员可批量导入用户信息，支持Excel格式批量操作，提供用户信息的增删改查功能；</w:t>
            </w:r>
          </w:p>
          <w:p w14:paraId="2F30D94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3、系统支持用户状态管理，包括账户激活、禁用、密码重置等操作，确保账户安全性；</w:t>
            </w:r>
          </w:p>
          <w:p w14:paraId="304D6125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七、云盘管理模块</w:t>
            </w:r>
          </w:p>
          <w:p w14:paraId="37B766B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提供集中式的存储空间管理功能，管理员可统一分配和管理用户存储配额；请提供产品功能对应截图并说明；</w:t>
            </w:r>
          </w:p>
          <w:p w14:paraId="62904954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2、支持存储使用情况统计，包括用户存储占用、文件类型分布、存储增长趋势等数据</w:t>
            </w:r>
          </w:p>
          <w:p w14:paraId="5B948DD4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3、提供存储空间回收和清理功能，确保存储资源的有效利用。支持文件安全扫描和内容审核功能</w:t>
            </w:r>
          </w:p>
        </w:tc>
        <w:tc>
          <w:tcPr>
            <w:tcW w:w="304" w:type="pct"/>
            <w:vAlign w:val="center"/>
          </w:tcPr>
          <w:p w14:paraId="2038473E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台</w:t>
            </w:r>
          </w:p>
        </w:tc>
        <w:tc>
          <w:tcPr>
            <w:tcW w:w="364" w:type="pct"/>
            <w:vAlign w:val="center"/>
          </w:tcPr>
          <w:p w14:paraId="64732E6B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4" w:type="pct"/>
            <w:vAlign w:val="center"/>
          </w:tcPr>
          <w:p w14:paraId="1BDA664B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1年</w:t>
            </w:r>
          </w:p>
        </w:tc>
      </w:tr>
      <w:tr w14:paraId="6639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02" w:type="pct"/>
            <w:vAlign w:val="center"/>
          </w:tcPr>
          <w:p w14:paraId="15E4F71A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62" w:type="pct"/>
            <w:vAlign w:val="center"/>
          </w:tcPr>
          <w:p w14:paraId="40ADD5CA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虚拟仿真实训计算设备</w:t>
            </w:r>
          </w:p>
        </w:tc>
        <w:tc>
          <w:tcPr>
            <w:tcW w:w="3200" w:type="pct"/>
            <w:vAlign w:val="center"/>
          </w:tcPr>
          <w:p w14:paraId="7952EE42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一、硬件配置及性能指标</w:t>
            </w:r>
          </w:p>
          <w:p w14:paraId="2B240432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1、专用虚拟化平台，固化业务背板，固化万兆网络接口≥2个，外接USB口≥2个；</w:t>
            </w:r>
          </w:p>
          <w:p w14:paraId="7EFAB0D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2、系统及数据采用纯SSD硬盘架构。SSD系统盘容量配置不低于240G，SSD数据盘容量配置不低于1T*3，DDR4内存不低于832G；</w:t>
            </w:r>
          </w:p>
          <w:p w14:paraId="32DCBD2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3、采用双颗CPU，单颗CPU内核不少于20核，主频不低于2.2GHz</w:t>
            </w:r>
          </w:p>
          <w:p w14:paraId="703571F2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二、教师端课程管理模块</w:t>
            </w:r>
          </w:p>
          <w:p w14:paraId="357911D6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1、教师可查看和管理自己负责的课程，包括课程基本信息、教学进度等；</w:t>
            </w:r>
          </w:p>
          <w:p w14:paraId="2169AAEF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2、支持课程资料的上传和管理，包括课件、视频、文档等多种格式；</w:t>
            </w:r>
          </w:p>
          <w:p w14:paraId="6F340549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三、教师端作业管理模块</w:t>
            </w:r>
          </w:p>
          <w:p w14:paraId="398F340F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1、提供完整的作业生命周期管理，教师可创建各种类型的作业任务，包括文档作业、编程作业、报告作业等；</w:t>
            </w:r>
          </w:p>
          <w:p w14:paraId="0291EA71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▲2、支持作业提交时间控制和延期管理，提供作业提交状态统计和催交功能；请提供产品功能对应截图并说明；</w:t>
            </w:r>
          </w:p>
          <w:p w14:paraId="035A4338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3、支持作业在线批改功能，包括评分、评语添加、批改痕迹保留；</w:t>
            </w:r>
          </w:p>
          <w:p w14:paraId="1A34756C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四、教师端测验考试模块</w:t>
            </w:r>
          </w:p>
          <w:p w14:paraId="3F573F48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1、集成测验功能，支持多种题型的在线测验创建，包括单选题、多选题、填空题、问答题等；</w:t>
            </w:r>
          </w:p>
          <w:p w14:paraId="0CA64DF5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2、提供题库管理功能，教师可建立题库，支持题目批量导入导出；</w:t>
            </w:r>
          </w:p>
          <w:p w14:paraId="6FC5E4B0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3、支持手动组卷，提供试卷预览和难度分析功能；</w:t>
            </w:r>
          </w:p>
          <w:p w14:paraId="6F56D6CC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五、教师端成绩管理模块</w:t>
            </w:r>
          </w:p>
          <w:p w14:paraId="54163AA1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1、提供成绩管理功能，支持测验成绩、期末成绩的录入和计算；</w:t>
            </w:r>
          </w:p>
          <w:p w14:paraId="039B1E3B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2、支持多种成绩评定方式，包括百分制等，支持权重设置；</w:t>
            </w:r>
          </w:p>
          <w:p w14:paraId="48C23076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▲3、提供成绩统计分析功能，包括平均分、及格率、成绩分布等数据；请提供产品功能对应截图并说明；</w:t>
            </w:r>
          </w:p>
          <w:p w14:paraId="5B78E82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4、支持成绩导出功能，可生成Excel格式的成绩单；</w:t>
            </w:r>
          </w:p>
          <w:p w14:paraId="5D06560A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六、教师端虚拟机环境管理</w:t>
            </w:r>
          </w:p>
          <w:p w14:paraId="1326E39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1、教师可为课程配置专用的虚拟机环境，支持虚拟机模板的选择和定制；</w:t>
            </w:r>
          </w:p>
          <w:p w14:paraId="77169398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▲2、提供虚拟机快照管理功能，可为学生创建标准化的实训环境；请提供产品功能对应截图并说明；</w:t>
            </w:r>
          </w:p>
          <w:p w14:paraId="48CD995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3、支持虚拟机使用情况监控，包括启动时间、使用时长、资源占用等数据；</w:t>
            </w:r>
          </w:p>
          <w:p w14:paraId="5041653A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4、提供虚拟机远程控制功能，教师可协助学生解决技术问题；</w:t>
            </w:r>
          </w:p>
          <w:p w14:paraId="66588E8A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▲5、支持教师对学生虚拟机一键开关虚拟机和一键开关互联网权限；请提供产品功能对应截图并说明；</w:t>
            </w:r>
          </w:p>
          <w:p w14:paraId="0D980066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6、支持课程资料下载功能，学生可获取教师发布的教学资源，支持在线预览； </w:t>
            </w:r>
          </w:p>
          <w:p w14:paraId="1AAC0F29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七、学生端作业提交模块</w:t>
            </w:r>
          </w:p>
          <w:p w14:paraId="67283FD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1、提供便捷的作业提交界面，支持多种文件格式的作业上传，单文件大小支持不少于500MB；</w:t>
            </w:r>
          </w:p>
          <w:p w14:paraId="7E225D35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2、学生可查看作业要求、提交截止时间、评分标准等信息，支持倒计时提醒；</w:t>
            </w:r>
          </w:p>
          <w:p w14:paraId="0EBDC3B6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3、支持作业草稿保存功能，学生可多次编辑和完善作业内容；</w:t>
            </w:r>
          </w:p>
          <w:p w14:paraId="21056E8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4、提供作业提交历史记录，学生可查看历史提交情况和教师反馈评语；</w:t>
            </w:r>
          </w:p>
          <w:p w14:paraId="0CDF15A8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八、学生端在线测验模块</w:t>
            </w:r>
          </w:p>
          <w:p w14:paraId="2282CDB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1、学生可参与教师发布的各类在线测验和考试，系统提供答题界面；</w:t>
            </w:r>
          </w:p>
          <w:p w14:paraId="46E5C2BB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2、支持试题自动保存功能，防止答题过程中的意外丢失，提供答题进度显示；</w:t>
            </w:r>
          </w:p>
          <w:p w14:paraId="39E81E66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3、提供答题时间提醒和自动提交功能，确保测验的公平性；</w:t>
            </w:r>
          </w:p>
          <w:p w14:paraId="6C5260C1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4、学生可查看测验结果和错题解析，支持成绩分析和学习建议；</w:t>
            </w:r>
          </w:p>
          <w:p w14:paraId="143BA363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十、学生端虚拟机实训模块</w:t>
            </w:r>
          </w:p>
          <w:p w14:paraId="5E916140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1、学生可访问为课程配置的专用虚拟环境，进行实践操作和技能训练；</w:t>
            </w:r>
          </w:p>
          <w:p w14:paraId="0521605D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2、支持虚拟机远程桌面访问，提供流畅的操作体验，支持文件传输功能；</w:t>
            </w:r>
          </w:p>
          <w:p w14:paraId="37B2AAE6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3、学生可管理个人虚拟机快照，保存实训成果和恢复环境状态；</w:t>
            </w:r>
          </w:p>
          <w:p w14:paraId="689E0D43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4、▲根据课程需求，内置 Windows 7—11、Windows Server 2008—2025、CentOS、Kali Linux、华为欧拉、统信 UOS Desktop、银河麒麟（Kylin OS Desktop / 麒麟 V10）等十余种操作系统；请提供产品功能对应截图并说明；</w:t>
            </w:r>
          </w:p>
          <w:p w14:paraId="24E2E4A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5、教学拓扑环境不得低于三种模式，从而具备教学场景多样性需求；其中第一种模式为纯Windows/Linux操作系统拓扑结构、第二种模式为Linux+Windows操作系统组合拓扑结构、第三种模式为windows server +Linux+Windows操作系统组合拓扑结构；</w:t>
            </w:r>
          </w:p>
          <w:p w14:paraId="68CF09EF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十一、学生端成绩查询模块</w:t>
            </w:r>
          </w:p>
          <w:p w14:paraId="6BA673D9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1、学生可实时查看各类成绩信息，包括作业成绩、测验成绩、期末成绩等；</w:t>
            </w:r>
          </w:p>
          <w:p w14:paraId="7BF6BB67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2、提供成绩详细分析，包括得分分布、错题统计等信息；</w:t>
            </w:r>
          </w:p>
          <w:p w14:paraId="0F026FC1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十二、云盘模块</w:t>
            </w:r>
          </w:p>
          <w:p w14:paraId="5EEE4671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1、为教师提供专用的云盘空间且不少于500MB；</w:t>
            </w:r>
          </w:p>
          <w:p w14:paraId="1190F782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2、支持文件在线预览功能，支持常见格式包括PDF、Office文档、图片、视频等；</w:t>
            </w:r>
          </w:p>
          <w:p w14:paraId="46A49FC9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3、提供文件搜索功能，快速定位所需文件，支持按文件名、类型、时间搜索；</w:t>
            </w:r>
          </w:p>
          <w:p w14:paraId="16B237A4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十三、学生端实训资源模块</w:t>
            </w:r>
          </w:p>
          <w:p w14:paraId="095C83A3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1、学生可查看教师发布的实训资源，包括实验指导、实验附件、实验数据及相关学习资料；</w:t>
            </w:r>
          </w:p>
          <w:p w14:paraId="53BDA26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2、支持实训资源在线预览、下载及与实验环境联动使用；</w:t>
            </w:r>
          </w:p>
          <w:p w14:paraId="0AA2C278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3、支持学生基于实训资源直接进入对应实验环境开展实验操作；</w:t>
            </w:r>
          </w:p>
          <w:p w14:paraId="7D10B240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4、支持展示实验要求、实验步骤、注意事项及资源更新时间；</w:t>
            </w:r>
          </w:p>
          <w:p w14:paraId="4ACFB568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5、支持学生在实验过程中调用相关资源，提升自主学习与实践操作效率。</w:t>
            </w:r>
          </w:p>
          <w:p w14:paraId="71DF92E9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十四、教师端实训资源模块</w:t>
            </w:r>
          </w:p>
          <w:p w14:paraId="66752CCE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1、支持教师根据课程需要自行上传实训资源，包括实验指导书、数据文件、脚本文件、镜像文件、课件视频等；</w:t>
            </w:r>
          </w:p>
          <w:p w14:paraId="31FA29F4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2、支持教师对实训资源进行分类、编辑、删除、版本更新和发布管理； </w:t>
            </w:r>
          </w:p>
          <w:p w14:paraId="6F5BCA5F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3、支持将实训资源与指定课程、实验项目进行关联，便于按课分发；</w:t>
            </w:r>
          </w:p>
          <w:p w14:paraId="4B7C1105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4、支持实训资源在线预览、下载及使用情况查看；</w:t>
            </w:r>
          </w:p>
          <w:p w14:paraId="5F6BD632"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▲5、支持教师设置资源可见范围，面向指定班级或学生开放。请提供产品功能对应截图并说明；</w:t>
            </w:r>
          </w:p>
        </w:tc>
        <w:tc>
          <w:tcPr>
            <w:tcW w:w="304" w:type="pct"/>
            <w:vAlign w:val="center"/>
          </w:tcPr>
          <w:p w14:paraId="07F03E4C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台</w:t>
            </w:r>
          </w:p>
        </w:tc>
        <w:tc>
          <w:tcPr>
            <w:tcW w:w="364" w:type="pct"/>
            <w:vAlign w:val="center"/>
          </w:tcPr>
          <w:p w14:paraId="1AA55F41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4" w:type="pct"/>
            <w:vAlign w:val="center"/>
          </w:tcPr>
          <w:p w14:paraId="450A872B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1年</w:t>
            </w:r>
          </w:p>
        </w:tc>
      </w:tr>
      <w:tr w14:paraId="6C53C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302" w:type="pct"/>
            <w:vAlign w:val="center"/>
          </w:tcPr>
          <w:p w14:paraId="425DFA3D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462" w:type="pct"/>
            <w:vAlign w:val="center"/>
          </w:tcPr>
          <w:p w14:paraId="687744E0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GPU计算设备</w:t>
            </w:r>
          </w:p>
        </w:tc>
        <w:tc>
          <w:tcPr>
            <w:tcW w:w="3200" w:type="pct"/>
            <w:vAlign w:val="center"/>
          </w:tcPr>
          <w:p w14:paraId="5D739679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一、硬件配置及性能指标</w:t>
            </w:r>
          </w:p>
          <w:p w14:paraId="7BDE870B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1、设备尺寸采用450MM*445MM*178MM，支持4个PCle4.0x16插槽，通信速度可达32GB/s；</w:t>
            </w:r>
          </w:p>
          <w:p w14:paraId="1B34689F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2、要求采用不低于四颗GPU，单颗GPU显存容量48G，显存带宽672GB/S；</w:t>
            </w:r>
          </w:p>
          <w:p w14:paraId="6DD053E8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二、GPU管理模块</w:t>
            </w:r>
          </w:p>
          <w:p w14:paraId="0A4C3275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▲1、采用先进的vGPU技术，支持单块物理GPU向多个虚拟机的分时复用，支持NVIDIA Tesla、Quadro系列和AMD FirePro系列；请提供产品功能对应截图并说明；</w:t>
            </w:r>
          </w:p>
          <w:p w14:paraId="22D9CD2F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▲2、深度集成Proxmox VE平台，支持GPU直通和SR-IOV技术，实现GPU资源的完全隔离和性能保证；请提供产品功能对应截图并说明；</w:t>
            </w:r>
          </w:p>
          <w:p w14:paraId="53B0A0E9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3、提供直观的GPU资源管理界面，支持vGPU实例的创建、删除、配置调整，支持按计算能力、显存容量等维度进行资源划分；</w:t>
            </w:r>
          </w:p>
          <w:p w14:paraId="1BA54E44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4、实现基于角色的GPU资源访问控制，提供资源配额与时间管理；</w:t>
            </w:r>
          </w:p>
          <w:p w14:paraId="1F640C5B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5、为人工智能教学和数字媒体专业提供专用GPU计算环境，支持深度学习实验和3D渲染应用；</w:t>
            </w:r>
          </w:p>
          <w:p w14:paraId="332FA69F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6、支持科学计算应用，兼容MATLAB、Ansys等软件的GPU加速，提供分布式计算和批量作业调度；</w:t>
            </w:r>
          </w:p>
          <w:p w14:paraId="22342230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7、集成GPU智能调度算法，支持优先级调度、负载均衡，提供任务队列管理和资源预约功能；</w:t>
            </w:r>
          </w:p>
          <w:p w14:paraId="6522E70A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▲8、提供实时GPU性能监控，包括GPU利用率、显存使用率、温度、功耗等关键指标，支持历史数据分析和异常告警；请提供产品功能对应截图并说明；</w:t>
            </w:r>
          </w:p>
          <w:p w14:paraId="1435DF58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9、支持GPU集群扩展管理，提供数据加密传输、备份恢复功能，具备标准API接口支持第三方系统集成；</w:t>
            </w:r>
          </w:p>
          <w:p w14:paraId="70D7A8D5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三、技术要求</w:t>
            </w:r>
          </w:p>
          <w:p w14:paraId="181B7B19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1、系统采用B/S架构设计，支持多种浏览器包括不限于Chrome、Firefox、Edge、Safari；</w:t>
            </w:r>
          </w:p>
          <w:p w14:paraId="08D1D2E1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2、支持响应式布局设计，适配不同PC端；</w:t>
            </w:r>
          </w:p>
          <w:p w14:paraId="6527637E">
            <w:pPr>
              <w:spacing w:line="276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3、提供详细的操作日志记录，确保系统操作的可追溯性；</w:t>
            </w:r>
          </w:p>
        </w:tc>
        <w:tc>
          <w:tcPr>
            <w:tcW w:w="304" w:type="pct"/>
            <w:vAlign w:val="center"/>
          </w:tcPr>
          <w:p w14:paraId="6C5F5398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台</w:t>
            </w:r>
          </w:p>
        </w:tc>
        <w:tc>
          <w:tcPr>
            <w:tcW w:w="364" w:type="pct"/>
            <w:vAlign w:val="center"/>
          </w:tcPr>
          <w:p w14:paraId="7F43AB4D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4" w:type="pct"/>
            <w:vAlign w:val="center"/>
          </w:tcPr>
          <w:p w14:paraId="6EEACBD4">
            <w:pPr>
              <w:snapToGrid w:val="0"/>
              <w:spacing w:line="5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1年</w:t>
            </w:r>
          </w:p>
        </w:tc>
      </w:tr>
    </w:tbl>
    <w:p w14:paraId="6AF64D1C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</w:p>
    <w:p w14:paraId="2162986B">
      <w:pPr>
        <w:pStyle w:val="3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具体项目内容、采购要求，以竞争性磋商文件相应规定为准。</w:t>
      </w: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）</w:t>
      </w:r>
    </w:p>
    <w:p w14:paraId="7965B545">
      <w:pPr>
        <w:pStyle w:val="3"/>
        <w:spacing w:before="183"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二、合格的供应商必须具备以下条件：</w:t>
      </w:r>
    </w:p>
    <w:p w14:paraId="2F3BB3F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firstLine="41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1.符合《中华人民共和国政府采购法》第二十二条规定的供应商。</w:t>
      </w:r>
    </w:p>
    <w:p w14:paraId="2D3EB45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firstLine="41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2.合格供应商必须提供下列资料（未提供的将被视作未实质性响应</w:t>
      </w:r>
      <w:r>
        <w:rPr>
          <w:rFonts w:hint="eastAsia" w:ascii="宋体" w:hAnsi="宋体" w:eastAsia="宋体" w:cs="宋体"/>
          <w:spacing w:val="-60"/>
          <w:sz w:val="21"/>
          <w:szCs w:val="21"/>
        </w:rPr>
        <w:t>）：</w:t>
      </w:r>
    </w:p>
    <w:p w14:paraId="137D2A4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right="1058" w:firstLine="40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5"/>
          <w:sz w:val="21"/>
          <w:szCs w:val="21"/>
        </w:rPr>
        <w:t>（1）组织机构证明：企业营业执照（具有相应的</w:t>
      </w:r>
      <w:r>
        <w:rPr>
          <w:rFonts w:hint="eastAsia" w:ascii="宋体" w:hAnsi="宋体" w:eastAsia="宋体" w:cs="宋体"/>
          <w:spacing w:val="-6"/>
          <w:sz w:val="21"/>
          <w:szCs w:val="21"/>
        </w:rPr>
        <w:t>经营范围）、税务登记证、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组织机构代码证（如已经办理三证合一的投标人，则只需提供合并后的企业营业</w:t>
      </w:r>
      <w:r>
        <w:rPr>
          <w:rFonts w:hint="eastAsia" w:ascii="宋体" w:hAnsi="宋体" w:eastAsia="宋体" w:cs="宋体"/>
          <w:spacing w:val="-25"/>
          <w:sz w:val="21"/>
          <w:szCs w:val="21"/>
        </w:rPr>
        <w:t>执照）。</w:t>
      </w:r>
    </w:p>
    <w:p w14:paraId="6E9DBC9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360" w:lineRule="auto"/>
        <w:ind w:right="1112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（2）商业信誉：未被列入失信被执行人、重大税收违法案件当事人、政府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采 购 严 重 违 法 失</w:t>
      </w:r>
      <w:r>
        <w:rPr>
          <w:rFonts w:hint="eastAsia" w:ascii="宋体" w:hAnsi="宋体" w:eastAsia="宋体" w:cs="宋体"/>
          <w:spacing w:val="-14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信 行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为</w:t>
      </w:r>
      <w:r>
        <w:rPr>
          <w:rFonts w:hint="eastAsia" w:ascii="宋体" w:hAnsi="宋体" w:eastAsia="宋体" w:cs="宋体"/>
          <w:spacing w:val="-1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记</w:t>
      </w:r>
      <w:r>
        <w:rPr>
          <w:rFonts w:hint="eastAsia" w:ascii="宋体" w:hAnsi="宋体" w:eastAsia="宋体" w:cs="宋体"/>
          <w:spacing w:val="-1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录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名</w:t>
      </w:r>
      <w:r>
        <w:rPr>
          <w:rFonts w:hint="eastAsia" w:ascii="宋体" w:hAnsi="宋体" w:eastAsia="宋体" w:cs="宋体"/>
          <w:spacing w:val="-1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单 ， 以 在</w:t>
      </w:r>
      <w:r>
        <w:rPr>
          <w:rFonts w:hint="eastAsia" w:ascii="宋体" w:hAnsi="宋体" w:eastAsia="宋体" w:cs="宋体"/>
          <w:spacing w:val="-2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“ 信 用 中 国 ”</w:t>
      </w:r>
      <w:r>
        <w:rPr>
          <w:rFonts w:hint="eastAsia"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网 站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"https://www.creditchina.gov.cn"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www.creditchina.gov.cn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）和中国政府采购网（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"https://www.ccgp.gov.cn"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www.ccgp.gov.cn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）查询供应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商信用记录的系统截图为准。凡被列入失信被执行人、税收违法黑名单、政府采购严重违法失信行为记录名单及其他不符合《中华人民共和国政府采购法》第二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十二条规定条件的供应商，应当拒绝其参与政府采购活动。</w:t>
      </w:r>
    </w:p>
    <w:p w14:paraId="4E5877A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right="1114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（3）单位负责人为同一人或者存在直接控股、管理关系的不同供应商，不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得参加同一合同项下的采购活动。</w:t>
      </w:r>
    </w:p>
    <w:p w14:paraId="61CBE1D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right="1112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（4）履行合同能力：具有同类项目的经验，并具备履行合同所必需的主要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设备设施、专业技术人员和能力。</w:t>
      </w:r>
    </w:p>
    <w:p w14:paraId="20F3AE46">
      <w:pPr>
        <w:pStyle w:val="3"/>
        <w:spacing w:before="122" w:line="360" w:lineRule="auto"/>
        <w:ind w:firstLine="412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2"/>
          <w:sz w:val="21"/>
          <w:szCs w:val="21"/>
        </w:rPr>
        <w:t>（5）本项目不接受联合体报名。</w:t>
      </w:r>
    </w:p>
    <w:p w14:paraId="1A7CF9E9">
      <w:pPr>
        <w:pStyle w:val="3"/>
        <w:spacing w:before="184" w:line="360" w:lineRule="auto"/>
        <w:ind w:left="503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三、磋商文件的获取</w:t>
      </w:r>
    </w:p>
    <w:p w14:paraId="641AAB71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获取时间：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2026 年8月13 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09时00分到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2026 年8月19日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16时00分</w:t>
      </w:r>
    </w:p>
    <w:p w14:paraId="31B2B786">
      <w:pPr>
        <w:pStyle w:val="3"/>
        <w:spacing w:before="182" w:line="36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获取方式：邮箱发送有效报名资料转账购买或线下购买，售价：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¥ 600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元/包件（售后不退）</w:t>
      </w:r>
    </w:p>
    <w:p w14:paraId="65681C8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（1）邮箱报名需将以下清晰的材料发送至18606158310@163.com邮箱：</w:t>
      </w:r>
    </w:p>
    <w:p w14:paraId="56DCCAB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1）营业执照（或事业单位、社会团体法人证书）原件扫描件；</w:t>
      </w:r>
    </w:p>
    <w:p w14:paraId="6600A0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2）报名信息（准确的单位名称、纳税人登记号、联系人姓名、手机）；</w:t>
      </w:r>
    </w:p>
    <w:p w14:paraId="345FE0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3）转账凭证（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收款单位：上海健生教育配置招标有限公司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开户银行：交通银行西藏南路支行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帐号：310066564018150027780，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转账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注明：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“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JSCS26080713-N106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 xml:space="preserve"> 标书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”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）。</w:t>
      </w:r>
    </w:p>
    <w:p w14:paraId="4852C0C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7" w:firstLine="388" w:firstLineChars="200"/>
        <w:jc w:val="both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pacing w:val="-8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线下报名地点：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</w:t>
      </w:r>
    </w:p>
    <w:p w14:paraId="5CB95E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388" w:firstLineChars="200"/>
        <w:jc w:val="left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报名时需提交：</w:t>
      </w:r>
    </w:p>
    <w:p w14:paraId="61D3DF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1）营业执照（或事业单位、社会团体法人证书）原件扫描件；</w:t>
      </w:r>
    </w:p>
    <w:p w14:paraId="4D16B0F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2）报名信息（准确的单位名称、纳税人登记号、联系人姓名、手机）；</w:t>
      </w:r>
    </w:p>
    <w:p w14:paraId="52EC46C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7" w:firstLine="420" w:firstLineChars="200"/>
        <w:jc w:val="both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3）转账凭证（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收款单位：上海健生教育配置招标有限公司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开户银行：交通银行西藏南路支行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帐号：310066564018150027780，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转账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注明：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“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JSCS26080713-N106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 xml:space="preserve"> 标书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”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）。</w:t>
      </w:r>
    </w:p>
    <w:p w14:paraId="0CBA4729">
      <w:pPr>
        <w:pStyle w:val="3"/>
        <w:spacing w:before="3" w:line="360" w:lineRule="auto"/>
        <w:ind w:left="23" w:right="37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8"/>
          <w:sz w:val="21"/>
          <w:szCs w:val="21"/>
        </w:rPr>
        <w:t>注：磋商供应商须保证所提交的文件、资料的内容真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实、完整、有效、一致，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如递交虚假的响应文件、资料或填写信息错误导致的与本项目有关的任何损失由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供应商承担。</w:t>
      </w:r>
    </w:p>
    <w:p w14:paraId="31D5FA52">
      <w:pPr>
        <w:pStyle w:val="3"/>
        <w:spacing w:line="360" w:lineRule="auto"/>
        <w:ind w:left="52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四、磋商响应截止时间和磋商时间</w:t>
      </w:r>
    </w:p>
    <w:p w14:paraId="2FE358E5">
      <w:pPr>
        <w:pStyle w:val="3"/>
        <w:spacing w:before="181" w:line="360" w:lineRule="auto"/>
        <w:ind w:left="26" w:right="99" w:firstLine="494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7"/>
          <w:sz w:val="21"/>
          <w:szCs w:val="21"/>
        </w:rPr>
        <w:t>1.首次递交响应文件截止时间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 xml:space="preserve">：2026 年 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 xml:space="preserve">日 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>1</w:t>
      </w:r>
      <w:r>
        <w:rPr>
          <w:rFonts w:hint="eastAsia" w:cs="宋体"/>
          <w:color w:val="auto"/>
          <w:kern w:val="2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:</w:t>
      </w:r>
      <w:r>
        <w:rPr>
          <w:rFonts w:hint="eastAsia" w:cs="宋体"/>
          <w:color w:val="auto"/>
          <w:kern w:val="2"/>
          <w:sz w:val="21"/>
          <w:szCs w:val="21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（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北京时间</w:t>
      </w:r>
      <w:r>
        <w:rPr>
          <w:rFonts w:hint="eastAsia" w:ascii="宋体" w:hAnsi="宋体" w:eastAsia="宋体" w:cs="宋体"/>
          <w:spacing w:val="-8"/>
          <w:sz w:val="21"/>
          <w:szCs w:val="21"/>
        </w:rPr>
        <w:t>）。迟到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或不符合规定的响应文件恕不接受。</w:t>
      </w:r>
    </w:p>
    <w:p w14:paraId="4D5808E2">
      <w:pPr>
        <w:pStyle w:val="3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9"/>
          <w:sz w:val="21"/>
          <w:szCs w:val="21"/>
        </w:rPr>
        <w:t>2.磋商时间：2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02</w:t>
      </w:r>
      <w:r>
        <w:rPr>
          <w:rFonts w:hint="eastAsia" w:cs="宋体"/>
          <w:spacing w:val="-7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pacing w:val="-7"/>
          <w:sz w:val="21"/>
          <w:szCs w:val="21"/>
        </w:rPr>
        <w:t xml:space="preserve">年 </w:t>
      </w:r>
      <w:r>
        <w:rPr>
          <w:rFonts w:hint="eastAsia" w:ascii="宋体" w:hAnsi="宋体" w:eastAsia="宋体" w:cs="宋体"/>
          <w:spacing w:val="-7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月</w:t>
      </w:r>
      <w:r>
        <w:rPr>
          <w:rFonts w:hint="eastAsia" w:ascii="宋体" w:hAnsi="宋体" w:eastAsia="宋体" w:cs="宋体"/>
          <w:spacing w:val="-7"/>
          <w:sz w:val="21"/>
          <w:szCs w:val="21"/>
          <w:lang w:val="en-US" w:eastAsia="zh-CN"/>
        </w:rPr>
        <w:t xml:space="preserve">25 </w:t>
      </w:r>
      <w:r>
        <w:rPr>
          <w:rFonts w:hint="eastAsia" w:ascii="宋体" w:hAnsi="宋体" w:eastAsia="宋体" w:cs="宋体"/>
          <w:spacing w:val="-7"/>
          <w:sz w:val="21"/>
          <w:szCs w:val="21"/>
        </w:rPr>
        <w:t xml:space="preserve">日 </w:t>
      </w:r>
      <w:r>
        <w:rPr>
          <w:rFonts w:hint="eastAsia" w:ascii="宋体" w:hAnsi="宋体" w:eastAsia="宋体" w:cs="宋体"/>
          <w:spacing w:val="-7"/>
          <w:sz w:val="21"/>
          <w:szCs w:val="21"/>
          <w:lang w:val="en-US" w:eastAsia="zh-CN"/>
        </w:rPr>
        <w:t>1</w:t>
      </w:r>
      <w:r>
        <w:rPr>
          <w:rFonts w:hint="eastAsia" w:cs="宋体"/>
          <w:spacing w:val="-7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:</w:t>
      </w:r>
      <w:r>
        <w:rPr>
          <w:rFonts w:hint="eastAsia" w:cs="宋体"/>
          <w:spacing w:val="-7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（北京时间</w:t>
      </w:r>
      <w:bookmarkStart w:id="0" w:name="_GoBack"/>
      <w:bookmarkEnd w:id="0"/>
      <w:r>
        <w:rPr>
          <w:rFonts w:hint="eastAsia" w:ascii="宋体" w:hAnsi="宋体" w:eastAsia="宋体" w:cs="宋体"/>
          <w:spacing w:val="-9"/>
          <w:sz w:val="21"/>
          <w:szCs w:val="21"/>
        </w:rPr>
        <w:t>）。</w:t>
      </w:r>
    </w:p>
    <w:p w14:paraId="59106EE4">
      <w:pPr>
        <w:pStyle w:val="3"/>
        <w:spacing w:before="184" w:line="360" w:lineRule="auto"/>
        <w:ind w:left="50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五、磋商响应文件递交地点和磋商地点</w:t>
      </w:r>
    </w:p>
    <w:p w14:paraId="2CD4B34A">
      <w:pPr>
        <w:pStyle w:val="3"/>
        <w:spacing w:before="183" w:line="360" w:lineRule="auto"/>
        <w:ind w:left="52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1.磋商响应文件递交地点：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瞿溪路350号一楼健生招标会议室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。</w:t>
      </w:r>
    </w:p>
    <w:p w14:paraId="55FE8F39">
      <w:pPr>
        <w:pStyle w:val="3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4"/>
          <w:sz w:val="21"/>
          <w:szCs w:val="21"/>
        </w:rPr>
        <w:t>2.磋商地点：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瞿溪路350号一楼健生招标会议室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。</w:t>
      </w:r>
    </w:p>
    <w:p w14:paraId="65593D08">
      <w:pPr>
        <w:pStyle w:val="3"/>
        <w:spacing w:before="183" w:line="360" w:lineRule="auto"/>
        <w:ind w:left="521"/>
        <w:rPr>
          <w:rFonts w:hint="eastAsia" w:ascii="宋体" w:hAnsi="宋体" w:eastAsia="宋体" w:cs="宋体"/>
          <w:spacing w:val="-3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3.磋商所需携带其他材料：</w:t>
      </w:r>
    </w:p>
    <w:p w14:paraId="4C1FEE08">
      <w:pPr>
        <w:pStyle w:val="3"/>
        <w:spacing w:before="183" w:line="360" w:lineRule="auto"/>
        <w:ind w:left="521"/>
        <w:rPr>
          <w:rFonts w:hint="eastAsia" w:ascii="宋体" w:hAnsi="宋体" w:eastAsia="宋体" w:cs="宋体"/>
          <w:spacing w:val="-3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法定代表人出席需携带：（1）法定代表人证明原件；（2）法定代表人身份证明原件及复印件加盖公章；</w:t>
      </w:r>
    </w:p>
    <w:p w14:paraId="7510B1E7">
      <w:pPr>
        <w:pStyle w:val="3"/>
        <w:spacing w:before="183" w:line="360" w:lineRule="auto"/>
        <w:ind w:left="52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委托代理人出席需携带：（1）投标人的法定代表人证明原件；（2）法定代表人授权委托书原件；（3）委托代理人身份证明原件及复印件加盖公章。</w:t>
      </w:r>
    </w:p>
    <w:p w14:paraId="543A4B88">
      <w:pPr>
        <w:pStyle w:val="3"/>
        <w:spacing w:before="1" w:line="360" w:lineRule="auto"/>
        <w:ind w:left="50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六、发布公告的媒介</w:t>
      </w:r>
    </w:p>
    <w:p w14:paraId="44633E4D">
      <w:pPr>
        <w:pStyle w:val="3"/>
        <w:spacing w:before="185" w:line="360" w:lineRule="auto"/>
        <w:ind w:left="28" w:right="99" w:firstLine="5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5"/>
          <w:sz w:val="21"/>
          <w:szCs w:val="21"/>
        </w:rPr>
        <w:t>以上信息若有变更我们会通过“上海市工商外国语学校网站</w:t>
      </w:r>
      <w:r>
        <w:rPr>
          <w:rFonts w:hint="eastAsia"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5"/>
          <w:sz w:val="21"/>
          <w:szCs w:val="21"/>
        </w:rPr>
        <w:t>”通知，请供应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商关注。</w:t>
      </w:r>
    </w:p>
    <w:p w14:paraId="43E87E72">
      <w:pPr>
        <w:pStyle w:val="3"/>
        <w:spacing w:before="1" w:line="360" w:lineRule="auto"/>
        <w:ind w:left="5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七、联系方式</w:t>
      </w:r>
    </w:p>
    <w:p w14:paraId="49A111C1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上海市工商外国语学校</w:t>
      </w:r>
    </w:p>
    <w:p w14:paraId="53384A0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址：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上海市徐汇区百色支路35号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</w:t>
      </w:r>
    </w:p>
    <w:p w14:paraId="61EB58A9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施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老师</w:t>
      </w:r>
    </w:p>
    <w:p w14:paraId="055139FD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  话：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/>
        </w:rPr>
        <w:t>021-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64763038-6207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</w:t>
      </w:r>
    </w:p>
    <w:p w14:paraId="00E3BBCE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</w:p>
    <w:p w14:paraId="02E5208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代理机构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：上海健生教育配置招标有限公司　　　　　　　　　　　　</w:t>
      </w:r>
    </w:p>
    <w:p w14:paraId="0DA9BBC2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址：上海市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　　　　　　</w:t>
      </w:r>
    </w:p>
    <w:p w14:paraId="1A27697F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倪天豪</w:t>
      </w:r>
    </w:p>
    <w:p w14:paraId="5DBE6CE7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  话：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021-53087656-122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　　　　　　</w:t>
      </w:r>
    </w:p>
    <w:p w14:paraId="3A0B2753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电子邮件：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zhaobiao@mail.jiansheng.com</w:t>
      </w:r>
    </w:p>
    <w:sectPr>
      <w:pgSz w:w="11906" w:h="16839"/>
      <w:pgMar w:top="1431" w:right="1785" w:bottom="1429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timum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377AA2"/>
    <w:rsid w:val="03FA6D38"/>
    <w:rsid w:val="043C62D4"/>
    <w:rsid w:val="12DF135C"/>
    <w:rsid w:val="14A81E98"/>
    <w:rsid w:val="1A072B9A"/>
    <w:rsid w:val="22856899"/>
    <w:rsid w:val="274B74D8"/>
    <w:rsid w:val="336E4790"/>
    <w:rsid w:val="33745910"/>
    <w:rsid w:val="38701DD0"/>
    <w:rsid w:val="39687ECB"/>
    <w:rsid w:val="3C702C06"/>
    <w:rsid w:val="3E5967DC"/>
    <w:rsid w:val="3E8B6399"/>
    <w:rsid w:val="4BB16ED0"/>
    <w:rsid w:val="4C9E7102"/>
    <w:rsid w:val="706109EE"/>
    <w:rsid w:val="73D71312"/>
    <w:rsid w:val="747F28AF"/>
    <w:rsid w:val="7A852E93"/>
    <w:rsid w:val="7C7E4D85"/>
    <w:rsid w:val="7D5A0C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Body Text Indent"/>
    <w:basedOn w:val="1"/>
    <w:qFormat/>
    <w:uiPriority w:val="0"/>
    <w:pPr>
      <w:ind w:left="525"/>
    </w:pPr>
  </w:style>
  <w:style w:type="paragraph" w:styleId="5">
    <w:name w:val="Body Text First Indent 2"/>
    <w:basedOn w:val="4"/>
    <w:qFormat/>
    <w:uiPriority w:val="0"/>
    <w:pPr>
      <w:spacing w:line="360" w:lineRule="auto"/>
      <w:ind w:left="600" w:leftChars="200" w:hanging="180" w:hangingChars="100"/>
    </w:pPr>
    <w:rPr>
      <w:rFonts w:ascii="Arial" w:hAnsi="Arial" w:eastAsia="宋体"/>
      <w:sz w:val="18"/>
    </w:rPr>
  </w:style>
  <w:style w:type="table" w:styleId="7">
    <w:name w:val="Table Grid"/>
    <w:basedOn w:val="6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Optimum" w:hAnsi="Times New Roman" w:eastAsia="Optimum" w:cs="Times New Roman"/>
      <w:color w:val="000000"/>
      <w:sz w:val="24"/>
      <w:szCs w:val="24"/>
      <w:lang w:val="en-US" w:eastAsia="zh-CN" w:bidi="ar-SA"/>
    </w:rPr>
  </w:style>
  <w:style w:type="character" w:customStyle="1" w:styleId="12">
    <w:name w:val="15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character" w:customStyle="1" w:styleId="13">
    <w:name w:val="10"/>
    <w:basedOn w:val="8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7752</Words>
  <Characters>8206</Characters>
  <Lines>1</Lines>
  <Paragraphs>1</Paragraphs>
  <TotalTime>1</TotalTime>
  <ScaleCrop>false</ScaleCrop>
  <LinksUpToDate>false</LinksUpToDate>
  <CharactersWithSpaces>8324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2025-12-30T14:53:00Z</dcterms:created>
  <dc:creator>Jason</dc:creator>
  <cp:lastModifiedBy>In rays</cp:lastModifiedBy>
  <dcterms:modified xsi:type="dcterms:W3CDTF">2026-08-12T05:19:50Z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2026-01-08T10:16:58Z</vt:filetime>
  </property>
  <property fmtid="{D5CDD505-2E9C-101B-9397-08002B2CF9AE}" pid="4" name="KSOTemplateDocerSaveRecord">
    <vt:lpwstr>eyJoZGlkIjoiMWI3OGZhYjgxMDdmYjdjYWE3OThhNzk4MTQzYWM2MzciLCJ1c2VySWQiOiI5OTQzODM2NTAifQ==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E172F8AD52804CCDB1F1FE911C846477_13</vt:lpwstr>
  </property>
</Properties>
</file>