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A124B">
      <w:pPr>
        <w:pStyle w:val="3"/>
        <w:spacing w:before="180" w:line="360" w:lineRule="auto"/>
        <w:jc w:val="center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spacing w:val="-4"/>
          <w:sz w:val="21"/>
          <w:szCs w:val="21"/>
          <w:lang w:eastAsia="zh-CN"/>
        </w:rPr>
        <w:t>育人文化中心（校史馆）多媒体软件制作及系统集成采购项目</w:t>
      </w: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竞争性磋商公告</w:t>
      </w:r>
    </w:p>
    <w:p w14:paraId="068BA470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27EE72A6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649A2A14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根据《中华人民共和国政府采购法》及相关法律、法规之规定，</w:t>
      </w:r>
      <w:r>
        <w:rPr>
          <w:rFonts w:hint="eastAsia" w:ascii="宋体" w:hAnsi="宋体" w:eastAsia="宋体" w:cs="宋体"/>
          <w:spacing w:val="-4"/>
          <w:sz w:val="21"/>
          <w:szCs w:val="21"/>
          <w:lang w:eastAsia="zh-CN"/>
        </w:rPr>
        <w:t>上海健生教育配置招标有限公司</w:t>
      </w:r>
      <w:r>
        <w:rPr>
          <w:rFonts w:hint="eastAsia" w:ascii="宋体" w:hAnsi="宋体" w:eastAsia="宋体" w:cs="宋体"/>
          <w:sz w:val="21"/>
          <w:szCs w:val="21"/>
        </w:rPr>
        <w:t>受委托，对</w:t>
      </w:r>
      <w:r>
        <w:rPr>
          <w:rFonts w:hint="eastAsia" w:cs="宋体"/>
          <w:sz w:val="21"/>
          <w:szCs w:val="21"/>
          <w:lang w:eastAsia="zh-CN"/>
        </w:rPr>
        <w:t>育人文化中心（校史馆）多媒体软件制作及系统集成采购项目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进行竞争性磋商采购，特邀请合格的供应商参加磋商。</w:t>
      </w:r>
    </w:p>
    <w:p w14:paraId="3136E443">
      <w:pPr>
        <w:pStyle w:val="3"/>
        <w:spacing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一、项目概况</w:t>
      </w:r>
    </w:p>
    <w:p w14:paraId="1E6BFF8B">
      <w:pPr>
        <w:pStyle w:val="3"/>
        <w:spacing w:before="182" w:line="360" w:lineRule="auto"/>
        <w:ind w:left="521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1.项目名称：</w:t>
      </w:r>
      <w:r>
        <w:rPr>
          <w:rFonts w:hint="eastAsia" w:cs="宋体"/>
          <w:spacing w:val="-1"/>
          <w:sz w:val="21"/>
          <w:szCs w:val="21"/>
          <w:lang w:eastAsia="zh-CN"/>
        </w:rPr>
        <w:t>育人文化中心（校史馆）多媒体软件制作及系统集成采购项目</w:t>
      </w:r>
    </w:p>
    <w:p w14:paraId="082F62B6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2.项目编号：</w:t>
      </w:r>
      <w:r>
        <w:rPr>
          <w:rFonts w:hint="eastAsia" w:cs="宋体"/>
          <w:spacing w:val="-1"/>
          <w:sz w:val="21"/>
          <w:szCs w:val="21"/>
          <w:lang w:eastAsia="zh-CN"/>
        </w:rPr>
        <w:t>JSCS26090861-N119</w:t>
      </w:r>
    </w:p>
    <w:p w14:paraId="6EC9862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3.预算金额：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24.44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万元</w:t>
      </w:r>
    </w:p>
    <w:p w14:paraId="7AB05379">
      <w:pPr>
        <w:pStyle w:val="3"/>
        <w:spacing w:before="78" w:line="360" w:lineRule="auto"/>
        <w:ind w:left="22" w:right="99" w:firstLine="480"/>
        <w:jc w:val="both"/>
        <w:rPr>
          <w:rFonts w:hint="default" w:ascii="宋体" w:hAnsi="宋体" w:eastAsia="宋体" w:cs="宋体"/>
          <w:sz w:val="21"/>
          <w:szCs w:val="21"/>
          <w:highlight w:val="non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4.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服务期限：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自合同签订之日起至2026年11月30日，完成全部内容，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免费质保期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自验收合格之日起至2028年12月31日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。</w:t>
      </w:r>
    </w:p>
    <w:p w14:paraId="1058C322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5.项目地址：上海市徐汇区百色支路 35 号</w:t>
      </w:r>
    </w:p>
    <w:p w14:paraId="4AEB1F4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6.项目概况：</w:t>
      </w:r>
    </w:p>
    <w:p w14:paraId="1FC48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1、服务内容、要求、质量:</w:t>
      </w:r>
      <w:bookmarkStart w:id="0" w:name="OLE_LINK2"/>
    </w:p>
    <w:p w14:paraId="3B7EE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sz w:val="21"/>
          <w:szCs w:val="21"/>
          <w:highlight w:val="none"/>
        </w:rPr>
        <w:t>1.1 总体要求：</w:t>
      </w:r>
    </w:p>
    <w:p w14:paraId="66F34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（1）建成统一的中控管理系统，实现区域内多媒体设备的集中控</w:t>
      </w:r>
      <w:r>
        <w:rPr>
          <w:rFonts w:hint="eastAsia" w:ascii="宋体" w:hAnsi="宋体" w:eastAsia="宋体" w:cs="宋体"/>
          <w:sz w:val="21"/>
          <w:szCs w:val="21"/>
        </w:rPr>
        <w:t>制与场景联动；</w:t>
      </w:r>
    </w:p>
    <w:p w14:paraId="1E952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（2）交付定制化交互软件，满足多点触控、内容展示与互动体验需求；</w:t>
      </w:r>
    </w:p>
    <w:p w14:paraId="5C2FD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（3）完成展示视频内容的策划与制作，满足展示主题与传播需求；</w:t>
      </w:r>
    </w:p>
    <w:p w14:paraId="31F8B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（4）建设音响播放系统，保障区域内声场效果清晰、稳定、可管理；</w:t>
      </w:r>
    </w:p>
    <w:p w14:paraId="2A71C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（5）完成定制互动桌面外壳的设计与制作，与现场环境协调统一、安全耐用。</w:t>
      </w:r>
    </w:p>
    <w:p w14:paraId="3D348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1.2 设计原则：</w:t>
      </w:r>
    </w:p>
    <w:p w14:paraId="193E9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（1）实用性：系统功能贴合实际使用需求，操作简便、维护便捷；</w:t>
      </w:r>
    </w:p>
    <w:p w14:paraId="123CD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（2）先进性：采用成熟、稳定的先进技术，保证系统在生命周期内的适用性；</w:t>
      </w:r>
    </w:p>
    <w:p w14:paraId="42BAB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（3）可靠性：关键设备与软件应具备高可靠性，支持长期连续运行；</w:t>
      </w:r>
    </w:p>
    <w:p w14:paraId="0F788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（4）可扩展性：系统应具备良好的扩展能力，便于后续功能升级与设备增容；</w:t>
      </w:r>
    </w:p>
    <w:p w14:paraId="1F048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（5）规范性：系统设计、施工、验收应符合国家、行业相关标准规范。</w:t>
      </w:r>
    </w:p>
    <w:p w14:paraId="07481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1.3 设计内容及技术要求：</w:t>
      </w:r>
    </w:p>
    <w:p w14:paraId="0125C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（1）中控系统软件开发（1套）：完成多媒体展项中控系统的需求分析、方案设计、软件开发、部署调试及运维支持，实现对项目内各类多媒体设备（显示、音频、灯光、互动设备等）的集中控制与场景联动；</w:t>
      </w:r>
    </w:p>
    <w:p w14:paraId="0E1DE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（2）定制交互软件开发（5套）：自助留言交互软件1套、触控一体机交互软件4套</w:t>
      </w:r>
    </w:p>
    <w:p w14:paraId="207F5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根据项目需求定制开发交互应用软件，包含界面设计、功能开发、内容管理、运行调试，支持多点触控及多种交互形式；</w:t>
      </w:r>
    </w:p>
    <w:p w14:paraId="1A9CE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（3）视频剪辑制作（3套）：led屏播放视频1套、投影播放视频1套、一体机播放视频1套</w:t>
      </w:r>
    </w:p>
    <w:p w14:paraId="50450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根据项目定位与展示需求，完成多媒体展示视频的内容策划、素材剪辑、后期包装、配音配乐及成片输出；</w:t>
      </w:r>
    </w:p>
    <w:p w14:paraId="3FAB4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（4）音响播放系统（2套）：LED区及投影区</w:t>
      </w:r>
    </w:p>
    <w:p w14:paraId="02776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完成项目所需音箱设备、功放及相关音频设备的供货、安装、布线、调试及系统联调，保障项目区域声场效果；</w:t>
      </w:r>
    </w:p>
    <w:p w14:paraId="561AF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（5）定制互动桌面外壳（2个）：落地款，根据互动桌面设备尺寸与项目设计要求，完成互动桌面外壳的结构设计、加工制作、表面处理及现场安装。</w:t>
      </w:r>
    </w:p>
    <w:p w14:paraId="14090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1.4 设计标准和规范</w:t>
      </w:r>
    </w:p>
    <w:p w14:paraId="08B68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本项目软件、硬件、布线及施工应符合但不限于以下标准规范（如标准更新，按最新有效版本执行）：</w:t>
      </w:r>
    </w:p>
    <w:p w14:paraId="5DB1E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（1）GB/T 50314《智能建筑设计标准》；</w:t>
      </w:r>
    </w:p>
    <w:p w14:paraId="0D2FE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（2）GB 50174《数据中心设计规范》（如涉及）；</w:t>
      </w:r>
    </w:p>
    <w:p w14:paraId="02463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（3）GB 50311《综合布线系统工程设计规范》；</w:t>
      </w:r>
    </w:p>
    <w:p w14:paraId="5A64C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（4）GB 50312《综合布线系统工程验收规范》；</w:t>
      </w:r>
    </w:p>
    <w:p w14:paraId="6630C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（5）GB/T 50799《电子会议系统工程设计规范》（如涉及）；</w:t>
      </w:r>
    </w:p>
    <w:p w14:paraId="7938D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（6）GB/T 50312 等关于工程施工与验收的相关要求；</w:t>
      </w:r>
    </w:p>
    <w:p w14:paraId="1F664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（7）国家有关电气安全、消防安全、环保及信息安全的相关法规和标准。</w:t>
      </w:r>
    </w:p>
    <w:p w14:paraId="143AD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1.5 集成要求</w:t>
      </w:r>
    </w:p>
    <w:p w14:paraId="5D050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各子系统应实现无缝集成：中控系统可对音响系统、互动桌面及相关显示设备进行统一控制与状态监测；交互软件可接入中控系统实现联动场景；所有软硬件接口应开放、规范，便于后续维护与扩展。</w:t>
      </w:r>
    </w:p>
    <w:p w14:paraId="25061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1.6 培训要求</w:t>
      </w:r>
    </w:p>
    <w:bookmarkEnd w:id="0"/>
    <w:p w14:paraId="752F5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（1）中标人应对招标人相关人员进行系统操作与维护培训，确保培训对象能够独立完成日常操作与基础维护；</w:t>
      </w:r>
    </w:p>
    <w:p w14:paraId="355D7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（2）培训内容包括：中控系统操作、交互软件内容更新、音响系统操作、互动桌面日常维护等；</w:t>
      </w:r>
    </w:p>
    <w:p w14:paraId="5CB1B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（3）培训方式包括现场培训与文档培训，培训时间不少于2课时，并提供7*24小时在线指导，培训地点由双方协商确定；</w:t>
      </w:r>
    </w:p>
    <w:p w14:paraId="4EC37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（4）培训结束后应提交培训记录与考核材料，作为验收依据之一。</w:t>
      </w:r>
    </w:p>
    <w:p w14:paraId="52D5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1.7 项目实施方案</w:t>
      </w:r>
    </w:p>
    <w:p w14:paraId="6992A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投标人应结合本项目技术规格及采购需求，编制项目实施方案，内容包括但不限于：</w:t>
      </w:r>
    </w:p>
    <w:p w14:paraId="393D8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（1）项目理解与需求分析；</w:t>
      </w:r>
    </w:p>
    <w:p w14:paraId="082DB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（2）总体技术方案与系统架构设计；</w:t>
      </w:r>
    </w:p>
    <w:p w14:paraId="5DA70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（3）各子系统详细方案（中控系统、交互软件、视频制作、音响系统、互动桌面外壳）；</w:t>
      </w:r>
    </w:p>
    <w:p w14:paraId="6BDB5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（4）项目实施计划与进度安排；</w:t>
      </w:r>
    </w:p>
    <w:p w14:paraId="5799C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（5）项目组织机构与人员配置；</w:t>
      </w:r>
    </w:p>
    <w:p w14:paraId="42A8C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（6）质量管理与保障措施；</w:t>
      </w:r>
    </w:p>
    <w:p w14:paraId="5F59F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（7）安全管理与文明施工措施；</w:t>
      </w:r>
    </w:p>
    <w:p w14:paraId="187DF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（8）风险识别与应对措施；</w:t>
      </w:r>
    </w:p>
    <w:p w14:paraId="3326D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（9）测试与验收方案。</w:t>
      </w:r>
    </w:p>
    <w:p w14:paraId="73FB7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1.8 售后服务方案</w:t>
      </w:r>
    </w:p>
    <w:p w14:paraId="12342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投标人应编制售后服务方案，内容包括但不限于：</w:t>
      </w:r>
    </w:p>
    <w:p w14:paraId="769D8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（1）质保期承诺及范围；</w:t>
      </w:r>
    </w:p>
    <w:p w14:paraId="13753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（2）售后服务响应机制（响应时间、到场时间、修复时限）；</w:t>
      </w:r>
    </w:p>
    <w:p w14:paraId="13D01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（3）备品备件保障方案；</w:t>
      </w:r>
    </w:p>
    <w:p w14:paraId="31E0C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（4）软件维护与升级服务；</w:t>
      </w:r>
    </w:p>
    <w:p w14:paraId="1894C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（5）培训方案；</w:t>
      </w:r>
    </w:p>
    <w:p w14:paraId="1E8F3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（6）质保期后的维保服务方案及报价；</w:t>
      </w:r>
    </w:p>
    <w:p w14:paraId="3D53F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（7）应急处理预案。</w:t>
      </w:r>
    </w:p>
    <w:p w14:paraId="1523E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2、交付成果</w:t>
      </w:r>
    </w:p>
    <w:p w14:paraId="230B9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1.1 中控系统软件1套：含源代码及可执行程序、控制界面定制、受控设备接入与调试、技术文档、操作培训及质保期内的维护升级。</w:t>
      </w:r>
    </w:p>
    <w:p w14:paraId="0E8E6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 定制交互软件5套：含源代码及可执行程序、界面设计源文件、内容管理后台、技术文档、操作培训及质保期内的维护升级与内容更新支持。</w:t>
      </w:r>
    </w:p>
    <w:p w14:paraId="0842B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1.3 视频3套：成片文件（多格式）、项目源素材、脚本与制作说明文档。</w:t>
      </w:r>
    </w:p>
    <w:p w14:paraId="02D6B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1.4 音响系统2套：全部设备、线缆及辅材、安装施工、系统调试、竣工图纸、操作培训及质保期内的维护服务。</w:t>
      </w:r>
    </w:p>
    <w:p w14:paraId="02D9B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1.5 互动桌面软件2个：外壳成品、设计图纸（CAD源文件及PDF）、材质说明及检测报告（如涉及）、现场安装与调试。</w:t>
      </w:r>
    </w:p>
    <w:p w14:paraId="76449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1.6 培训手册、培训课件、培训记录等</w:t>
      </w:r>
    </w:p>
    <w:p w14:paraId="28DB42BC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1.7 其他：招标人要求的其他交付物</w:t>
      </w:r>
    </w:p>
    <w:p w14:paraId="2162986B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具体项目内容、采购要求，以竞争性磋商文件相应规定为准。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）</w:t>
      </w:r>
    </w:p>
    <w:p w14:paraId="7965B545">
      <w:pPr>
        <w:pStyle w:val="3"/>
        <w:spacing w:before="183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二、合格的供应商必须具备以下条件：</w:t>
      </w:r>
    </w:p>
    <w:p w14:paraId="2F3BB3F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1.符合《中华人民共和国政府采购法》第二十二条规定的供应商。</w:t>
      </w:r>
    </w:p>
    <w:p w14:paraId="2D3EB45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2.合格供应商必须提供下列资料（未提供的将被视作未实质性响应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）：</w:t>
      </w:r>
    </w:p>
    <w:p w14:paraId="137D2A4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058" w:firstLine="40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（1）组织机构证明：企业营业执照（具有相应的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经营范围）、税务登记证、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组织机构代码证（如已经办理三证合一的投标人，则只需提供合并后的企业营业</w:t>
      </w:r>
      <w:r>
        <w:rPr>
          <w:rFonts w:hint="eastAsia" w:ascii="宋体" w:hAnsi="宋体" w:eastAsia="宋体" w:cs="宋体"/>
          <w:spacing w:val="-25"/>
          <w:sz w:val="21"/>
          <w:szCs w:val="21"/>
        </w:rPr>
        <w:t>执照）。</w:t>
      </w:r>
    </w:p>
    <w:p w14:paraId="6E9DBC92">
      <w:pPr>
        <w:pStyle w:val="3"/>
        <w:keepNext w:val="0"/>
        <w:keepLines w:val="0"/>
        <w:pageBreakBefore w:val="0"/>
        <w:widowControl/>
        <w:tabs>
          <w:tab w:val="left" w:pos="71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356" w:rightChars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（2）商业信誉：未被列入失信被执行人、重大税收违法案件当事人、政府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采 购 严 重 违 法 失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信 行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为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记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录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名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 ， 以 在</w:t>
      </w:r>
      <w:r>
        <w:rPr>
          <w:rFonts w:hint="eastAsia"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“ 信 用 中 国 ”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网 站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"https://www.creditchina.gov.cn"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www.creditchina.gov.cn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）和中国政府采购网（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"https://www.ccgp.gov.cn"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www.ccgp.gov.cn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）查询供应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商信用记录的系统截图为准。凡被列入失信被执行人、税收违法黑名单、政府采购严重违法失信行为记录名单及其他不符合《中华人民共和国政府采购法》第二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十二条规定条件的供应商，应当拒绝其参与政府采购活动。</w:t>
      </w:r>
    </w:p>
    <w:p w14:paraId="4E5877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114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（3）单位负责人为同一人或者存在直接控股、管理关系的不同供应商，不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得参加同一合同项下的采购活动。</w:t>
      </w:r>
    </w:p>
    <w:p w14:paraId="61CBE1D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（4）履行合同能力：具有同类项目的经验，并具备履行合同所必需的主要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设备设施、专业技术人员和能力。</w:t>
      </w:r>
    </w:p>
    <w:p w14:paraId="20F3AE46">
      <w:pPr>
        <w:pStyle w:val="3"/>
        <w:spacing w:before="122" w:line="360" w:lineRule="auto"/>
        <w:ind w:firstLine="412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2"/>
          <w:sz w:val="21"/>
          <w:szCs w:val="21"/>
        </w:rPr>
        <w:t>（5）本项目不接受联合体报名。</w:t>
      </w:r>
    </w:p>
    <w:p w14:paraId="1A7CF9E9">
      <w:pPr>
        <w:pStyle w:val="3"/>
        <w:spacing w:before="184" w:line="360" w:lineRule="auto"/>
        <w:ind w:left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三、磋商文件的获取</w:t>
      </w:r>
    </w:p>
    <w:p w14:paraId="641AAB7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获取时间：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年10月10日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09时00分到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年10月16日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16时00分</w:t>
      </w:r>
    </w:p>
    <w:p w14:paraId="31B2B786">
      <w:pPr>
        <w:pStyle w:val="3"/>
        <w:spacing w:before="182" w:line="360" w:lineRule="auto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获取方式：邮箱发送有效报名资料转账购买或线下购买，售价：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¥ 600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元/包件（售后不退）</w:t>
      </w:r>
    </w:p>
    <w:p w14:paraId="65681C8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（1）邮箱报名需将以下清晰的材料发送至18606158310@163.com邮箱：</w:t>
      </w:r>
    </w:p>
    <w:p w14:paraId="56DCCA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6600A0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345FE08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JSCS26090861-N119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4852C0C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388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线下报名地点：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</w:p>
    <w:p w14:paraId="5CB95E3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88" w:firstLineChars="200"/>
        <w:jc w:val="left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报名时需提交：</w:t>
      </w:r>
    </w:p>
    <w:p w14:paraId="61D3DF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4D16B0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52EC46C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420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JSCS26090861-N119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0CBA4729">
      <w:pPr>
        <w:pStyle w:val="3"/>
        <w:spacing w:before="3" w:line="360" w:lineRule="auto"/>
        <w:ind w:left="23" w:right="37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8"/>
          <w:sz w:val="21"/>
          <w:szCs w:val="21"/>
        </w:rPr>
        <w:t>注：磋商供应商须保证所提交的文件、资料的内容真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实、完整、有效、一致，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如递交虚假的响应文件、资料或填写信息错误导致的与本项目有关的任何损失由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供应商承担。</w:t>
      </w:r>
    </w:p>
    <w:p w14:paraId="31D5FA52">
      <w:pPr>
        <w:pStyle w:val="3"/>
        <w:spacing w:line="360" w:lineRule="auto"/>
        <w:ind w:left="52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四、磋商响应截止时间和磋商时间</w:t>
      </w:r>
    </w:p>
    <w:p w14:paraId="2FE358E5">
      <w:pPr>
        <w:pStyle w:val="3"/>
        <w:spacing w:before="181" w:line="360" w:lineRule="auto"/>
        <w:ind w:left="26" w:right="99" w:firstLine="49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1.首次递交响应文件截止时间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：2026 年 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月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日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>1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: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（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北京时间</w:t>
      </w:r>
      <w:r>
        <w:rPr>
          <w:rFonts w:hint="eastAsia" w:ascii="宋体" w:hAnsi="宋体" w:eastAsia="宋体" w:cs="宋体"/>
          <w:spacing w:val="-8"/>
          <w:sz w:val="21"/>
          <w:szCs w:val="21"/>
        </w:rPr>
        <w:t>）。迟到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或不符合规定的响应文件恕不接受。</w:t>
      </w:r>
    </w:p>
    <w:p w14:paraId="4D5808E2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9"/>
          <w:sz w:val="21"/>
          <w:szCs w:val="21"/>
        </w:rPr>
        <w:t>2.磋商时间：2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02</w:t>
      </w:r>
      <w:r>
        <w:rPr>
          <w:rFonts w:hint="eastAsia" w:cs="宋体"/>
          <w:spacing w:val="-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年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cs="宋体"/>
          <w:spacing w:val="-7"/>
          <w:sz w:val="21"/>
          <w:szCs w:val="21"/>
          <w:lang w:val="en-US" w:eastAsia="zh-CN"/>
        </w:rPr>
        <w:t xml:space="preserve"> 21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日 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>1</w:t>
      </w:r>
      <w:r>
        <w:rPr>
          <w:rFonts w:hint="eastAsia" w:cs="宋体"/>
          <w:spacing w:val="-7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0</w:t>
      </w:r>
      <w:bookmarkStart w:id="1" w:name="_GoBack"/>
      <w:bookmarkEnd w:id="1"/>
      <w:r>
        <w:rPr>
          <w:rFonts w:hint="eastAsia" w:cs="宋体"/>
          <w:spacing w:val="-7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（北京时间）。</w:t>
      </w:r>
    </w:p>
    <w:p w14:paraId="59106EE4">
      <w:pPr>
        <w:pStyle w:val="3"/>
        <w:spacing w:before="184"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五、磋商响应文件递交地点和磋商地点</w:t>
      </w:r>
    </w:p>
    <w:p w14:paraId="2CD4B34A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1.磋商响应文件递交地点：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55FE8F39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4"/>
          <w:sz w:val="21"/>
          <w:szCs w:val="21"/>
        </w:rPr>
        <w:t>2.磋商地点：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65593D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3.磋商所需携带其他材料：</w:t>
      </w:r>
    </w:p>
    <w:p w14:paraId="4C1FEE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法定代表人出席需携带：（1）法定代表人证明原件；（2）法定代表人身份证明原件及复印件加盖公章；</w:t>
      </w:r>
    </w:p>
    <w:p w14:paraId="7510B1E7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委托代理人出席需携带：（1）投标人的法定代表人证明原件；（2）法定代表人授权委托书原件；（3）委托代理人身份证明原件及复印件加盖公章。</w:t>
      </w:r>
    </w:p>
    <w:p w14:paraId="543A4B88">
      <w:pPr>
        <w:pStyle w:val="3"/>
        <w:spacing w:before="1" w:line="360" w:lineRule="auto"/>
        <w:ind w:left="5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六、发布公告的媒介</w:t>
      </w:r>
    </w:p>
    <w:p w14:paraId="44633E4D">
      <w:pPr>
        <w:pStyle w:val="3"/>
        <w:spacing w:before="185" w:line="360" w:lineRule="auto"/>
        <w:ind w:left="28" w:right="99" w:firstLine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以上信息若有变更我们会通过“上海市工商外国语学校网站</w:t>
      </w:r>
      <w:r>
        <w:rPr>
          <w:rFonts w:hint="eastAsia" w:ascii="宋体" w:hAnsi="宋体" w:eastAsia="宋体" w:cs="宋体"/>
          <w:spacing w:val="-8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”通知，请供应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商关注。</w:t>
      </w:r>
    </w:p>
    <w:p w14:paraId="43E87E72">
      <w:pPr>
        <w:pStyle w:val="3"/>
        <w:spacing w:before="1" w:line="360" w:lineRule="auto"/>
        <w:ind w:left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七、联系方式</w:t>
      </w:r>
    </w:p>
    <w:p w14:paraId="49A111C1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上海市工商外国语学校</w:t>
      </w:r>
    </w:p>
    <w:p w14:paraId="53384A0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上海市徐汇区百色支路35号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61EB58A9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老师</w:t>
      </w:r>
    </w:p>
    <w:p w14:paraId="055139FD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/>
        </w:rPr>
        <w:t>021-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64763038-6207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00E3BBCE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</w:p>
    <w:p w14:paraId="02E5208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代理机构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：上海健生教育配置招标有限公司　　　　　　　　　　　　</w:t>
      </w:r>
    </w:p>
    <w:p w14:paraId="0DA9BBC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1A27697F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倪天豪</w:t>
      </w:r>
    </w:p>
    <w:p w14:paraId="5DBE6CE7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021-53087656-122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3A0B275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电子邮件：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zhaobiao@mail.jiansheng.com</w:t>
      </w:r>
    </w:p>
    <w:sectPr>
      <w:pgSz w:w="11906" w:h="16839"/>
      <w:pgMar w:top="1431" w:right="1785" w:bottom="142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377AA2"/>
    <w:rsid w:val="03FA6D38"/>
    <w:rsid w:val="043C62D4"/>
    <w:rsid w:val="12DF135C"/>
    <w:rsid w:val="14A81E98"/>
    <w:rsid w:val="1A072B9A"/>
    <w:rsid w:val="22856899"/>
    <w:rsid w:val="274B74D8"/>
    <w:rsid w:val="336E4790"/>
    <w:rsid w:val="33745910"/>
    <w:rsid w:val="38701DD0"/>
    <w:rsid w:val="39687ECB"/>
    <w:rsid w:val="3C702C06"/>
    <w:rsid w:val="3E5967DC"/>
    <w:rsid w:val="3E8B6399"/>
    <w:rsid w:val="4BB16ED0"/>
    <w:rsid w:val="4C9E7102"/>
    <w:rsid w:val="4D6B5140"/>
    <w:rsid w:val="65CC7845"/>
    <w:rsid w:val="706109EE"/>
    <w:rsid w:val="71860D7C"/>
    <w:rsid w:val="71BC7E47"/>
    <w:rsid w:val="73D71312"/>
    <w:rsid w:val="747F28AF"/>
    <w:rsid w:val="7A852E93"/>
    <w:rsid w:val="7C7E4D85"/>
    <w:rsid w:val="7D5A0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Body Text Indent"/>
    <w:basedOn w:val="1"/>
    <w:qFormat/>
    <w:uiPriority w:val="0"/>
    <w:pPr>
      <w:ind w:left="525"/>
    </w:pPr>
  </w:style>
  <w:style w:type="paragraph" w:styleId="5">
    <w:name w:val="Body Text First Indent 2"/>
    <w:basedOn w:val="4"/>
    <w:qFormat/>
    <w:uiPriority w:val="0"/>
    <w:pPr>
      <w:spacing w:line="360" w:lineRule="auto"/>
      <w:ind w:left="600" w:leftChars="200" w:hanging="180" w:hangingChars="100"/>
    </w:pPr>
    <w:rPr>
      <w:rFonts w:ascii="Arial" w:hAnsi="Arial" w:eastAsia="宋体"/>
      <w:sz w:val="18"/>
    </w:rPr>
  </w:style>
  <w:style w:type="table" w:styleId="7">
    <w:name w:val="Table Grid"/>
    <w:basedOn w:val="6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sz w:val="24"/>
      <w:szCs w:val="24"/>
      <w:lang w:val="en-US" w:eastAsia="zh-CN" w:bidi="ar-SA"/>
    </w:rPr>
  </w:style>
  <w:style w:type="character" w:customStyle="1" w:styleId="12">
    <w:name w:val="15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character" w:customStyle="1" w:styleId="13">
    <w:name w:val="10"/>
    <w:basedOn w:val="8"/>
    <w:qFormat/>
    <w:uiPriority w:val="0"/>
    <w:rPr>
      <w:rFonts w:hint="default" w:ascii="Times New Roman" w:hAnsi="Times New Roman" w:cs="Times New Roman"/>
    </w:rPr>
  </w:style>
  <w:style w:type="paragraph" w:customStyle="1" w:styleId="14">
    <w:name w:val="样式 首行缩进:  2 字符"/>
    <w:basedOn w:val="1"/>
    <w:unhideWhenUsed/>
    <w:qFormat/>
    <w:uiPriority w:val="0"/>
    <w:pPr>
      <w:spacing w:line="360" w:lineRule="auto"/>
      <w:ind w:firstLine="480" w:firstLineChars="200"/>
    </w:pPr>
    <w:rPr>
      <w:rFonts w:ascii="宋体" w:hAnsi="宋体" w:cs="宋体"/>
      <w:color w:val="00000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3307</Words>
  <Characters>3775</Characters>
  <Lines>1</Lines>
  <Paragraphs>1</Paragraphs>
  <TotalTime>4</TotalTime>
  <ScaleCrop>false</ScaleCrop>
  <LinksUpToDate>false</LinksUpToDate>
  <CharactersWithSpaces>3996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2025-12-30T14:53:00Z</dcterms:created>
  <dc:creator>Jason</dc:creator>
  <cp:lastModifiedBy>In rays</cp:lastModifiedBy>
  <dcterms:modified xsi:type="dcterms:W3CDTF">2026-10-10T06:13:22Z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2026-01-08T10:16:58Z</vt:filetime>
  </property>
  <property fmtid="{D5CDD505-2E9C-101B-9397-08002B2CF9AE}" pid="4" name="KSOTemplateDocerSaveRecord">
    <vt:lpwstr>eyJoZGlkIjoiMWI3OGZhYjgxMDdmYjdjYWE3OThhNzk4MTQzYWM2MzciLCJ1c2VySWQiOiI5OTQzODM2NTAifQ==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E172F8AD52804CCDB1F1FE911C846477_13</vt:lpwstr>
  </property>
</Properties>
</file>