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A3C" w:rsidRDefault="00780419" w:rsidP="00780419">
      <w:pPr>
        <w:spacing w:line="360" w:lineRule="auto"/>
        <w:jc w:val="center"/>
        <w:rPr>
          <w:rFonts w:ascii="宋体" w:eastAsia="宋体" w:hAnsi="宋体"/>
          <w:b/>
          <w:sz w:val="28"/>
          <w:szCs w:val="28"/>
        </w:rPr>
      </w:pPr>
      <w:r>
        <w:rPr>
          <w:rFonts w:ascii="宋体" w:eastAsia="宋体" w:hAnsi="宋体" w:hint="eastAsia"/>
          <w:b/>
          <w:sz w:val="28"/>
          <w:szCs w:val="28"/>
        </w:rPr>
        <w:t>关于中外人文</w:t>
      </w:r>
      <w:proofErr w:type="gramStart"/>
      <w:r>
        <w:rPr>
          <w:rFonts w:ascii="宋体" w:eastAsia="宋体" w:hAnsi="宋体" w:hint="eastAsia"/>
          <w:b/>
          <w:sz w:val="28"/>
          <w:szCs w:val="28"/>
        </w:rPr>
        <w:t>交流明材工</w:t>
      </w:r>
      <w:proofErr w:type="gramEnd"/>
      <w:r>
        <w:rPr>
          <w:rFonts w:ascii="宋体" w:eastAsia="宋体" w:hAnsi="宋体" w:hint="eastAsia"/>
          <w:b/>
          <w:sz w:val="28"/>
          <w:szCs w:val="28"/>
        </w:rPr>
        <w:t>赋学堂（内涵建设）项目单一来源公示</w:t>
      </w:r>
    </w:p>
    <w:p w:rsidR="00053A3C" w:rsidRDefault="00780419">
      <w:pPr>
        <w:spacing w:line="440" w:lineRule="exact"/>
        <w:rPr>
          <w:rFonts w:ascii="宋体" w:eastAsia="宋体" w:hAnsi="宋体"/>
          <w:sz w:val="24"/>
          <w:szCs w:val="24"/>
        </w:rPr>
      </w:pPr>
      <w:r>
        <w:rPr>
          <w:rFonts w:ascii="宋体" w:eastAsia="宋体" w:hAnsi="宋体" w:hint="eastAsia"/>
          <w:b/>
          <w:sz w:val="24"/>
          <w:szCs w:val="24"/>
        </w:rPr>
        <w:t>采购单位：</w:t>
      </w:r>
      <w:r>
        <w:rPr>
          <w:rFonts w:ascii="宋体" w:eastAsia="宋体" w:hAnsi="宋体" w:hint="eastAsia"/>
          <w:sz w:val="24"/>
          <w:szCs w:val="24"/>
        </w:rPr>
        <w:t>上海市工商外国语学校</w:t>
      </w:r>
      <w:r>
        <w:rPr>
          <w:rFonts w:ascii="宋体" w:eastAsia="宋体" w:hAnsi="宋体"/>
          <w:sz w:val="24"/>
          <w:szCs w:val="24"/>
        </w:rPr>
        <w:t xml:space="preserve"> </w:t>
      </w:r>
      <w:bookmarkStart w:id="0" w:name="_GoBack"/>
      <w:bookmarkEnd w:id="0"/>
    </w:p>
    <w:p w:rsidR="00053A3C" w:rsidRDefault="00780419">
      <w:pPr>
        <w:spacing w:line="440" w:lineRule="exact"/>
        <w:rPr>
          <w:rFonts w:ascii="宋体" w:eastAsia="宋体" w:hAnsi="宋体"/>
          <w:sz w:val="24"/>
          <w:szCs w:val="24"/>
        </w:rPr>
      </w:pPr>
      <w:r>
        <w:rPr>
          <w:rFonts w:ascii="宋体" w:eastAsia="宋体" w:hAnsi="宋体" w:hint="eastAsia"/>
          <w:b/>
          <w:sz w:val="24"/>
          <w:szCs w:val="24"/>
        </w:rPr>
        <w:t>采购项目名称：</w:t>
      </w:r>
      <w:r>
        <w:rPr>
          <w:rFonts w:ascii="宋体" w:eastAsia="宋体" w:hAnsi="宋体"/>
          <w:sz w:val="24"/>
          <w:szCs w:val="24"/>
        </w:rPr>
        <w:t xml:space="preserve"> </w:t>
      </w:r>
      <w:r w:rsidR="00880441" w:rsidRPr="00880441">
        <w:rPr>
          <w:rFonts w:ascii="宋体" w:eastAsia="宋体" w:hAnsi="宋体" w:hint="eastAsia"/>
          <w:sz w:val="24"/>
          <w:szCs w:val="24"/>
        </w:rPr>
        <w:t>中外人文</w:t>
      </w:r>
      <w:proofErr w:type="gramStart"/>
      <w:r w:rsidR="00880441" w:rsidRPr="00880441">
        <w:rPr>
          <w:rFonts w:ascii="宋体" w:eastAsia="宋体" w:hAnsi="宋体" w:hint="eastAsia"/>
          <w:sz w:val="24"/>
          <w:szCs w:val="24"/>
        </w:rPr>
        <w:t>交流明材工</w:t>
      </w:r>
      <w:proofErr w:type="gramEnd"/>
      <w:r w:rsidR="00880441" w:rsidRPr="00880441">
        <w:rPr>
          <w:rFonts w:ascii="宋体" w:eastAsia="宋体" w:hAnsi="宋体" w:hint="eastAsia"/>
          <w:sz w:val="24"/>
          <w:szCs w:val="24"/>
        </w:rPr>
        <w:t>赋学堂（内涵建设）项目</w:t>
      </w:r>
    </w:p>
    <w:p w:rsidR="00053A3C" w:rsidRDefault="00780419">
      <w:pPr>
        <w:spacing w:line="440" w:lineRule="exact"/>
        <w:rPr>
          <w:rFonts w:ascii="宋体" w:eastAsia="宋体" w:hAnsi="宋体"/>
          <w:sz w:val="24"/>
          <w:szCs w:val="24"/>
        </w:rPr>
      </w:pPr>
      <w:r>
        <w:rPr>
          <w:rFonts w:ascii="宋体" w:eastAsia="宋体" w:hAnsi="宋体" w:hint="eastAsia"/>
          <w:b/>
          <w:sz w:val="24"/>
          <w:szCs w:val="24"/>
        </w:rPr>
        <w:t>项目编号：</w:t>
      </w:r>
      <w:r w:rsidR="00E003B6" w:rsidRPr="00E003B6">
        <w:rPr>
          <w:rFonts w:ascii="宋体" w:eastAsia="宋体" w:hAnsi="宋体" w:hint="eastAsia"/>
          <w:sz w:val="24"/>
          <w:szCs w:val="24"/>
        </w:rPr>
        <w:t>单一来源2024-003</w:t>
      </w:r>
    </w:p>
    <w:p w:rsidR="00053A3C" w:rsidRPr="00E003B6" w:rsidRDefault="00780419">
      <w:pPr>
        <w:spacing w:line="440" w:lineRule="exact"/>
        <w:rPr>
          <w:rFonts w:ascii="宋体" w:eastAsia="宋体" w:hAnsi="宋体"/>
          <w:b/>
          <w:sz w:val="24"/>
          <w:szCs w:val="24"/>
        </w:rPr>
      </w:pPr>
      <w:r w:rsidRPr="00E003B6">
        <w:rPr>
          <w:rFonts w:ascii="宋体" w:eastAsia="宋体" w:hAnsi="宋体" w:hint="eastAsia"/>
          <w:b/>
          <w:sz w:val="24"/>
          <w:szCs w:val="24"/>
        </w:rPr>
        <w:t>采购内容：</w:t>
      </w:r>
      <w:r w:rsidRPr="00E003B6">
        <w:rPr>
          <w:rFonts w:ascii="宋体" w:eastAsia="宋体" w:hAnsi="宋体" w:hint="eastAsia"/>
          <w:bCs/>
          <w:sz w:val="24"/>
          <w:szCs w:val="24"/>
        </w:rPr>
        <w:t>中外人文</w:t>
      </w:r>
      <w:proofErr w:type="gramStart"/>
      <w:r w:rsidRPr="00E003B6">
        <w:rPr>
          <w:rFonts w:ascii="宋体" w:eastAsia="宋体" w:hAnsi="宋体" w:hint="eastAsia"/>
          <w:bCs/>
          <w:sz w:val="24"/>
          <w:szCs w:val="24"/>
        </w:rPr>
        <w:t>交流明材</w:t>
      </w:r>
      <w:r w:rsidRPr="00E003B6">
        <w:rPr>
          <w:rFonts w:ascii="宋体" w:eastAsia="宋体" w:hAnsi="宋体" w:hint="eastAsia"/>
          <w:bCs/>
          <w:sz w:val="24"/>
          <w:szCs w:val="24"/>
        </w:rPr>
        <w:t>工</w:t>
      </w:r>
      <w:proofErr w:type="gramEnd"/>
      <w:r w:rsidRPr="00E003B6">
        <w:rPr>
          <w:rFonts w:ascii="宋体" w:eastAsia="宋体" w:hAnsi="宋体" w:hint="eastAsia"/>
          <w:bCs/>
          <w:sz w:val="24"/>
          <w:szCs w:val="24"/>
        </w:rPr>
        <w:t>赋学堂班文化、</w:t>
      </w:r>
      <w:r w:rsidRPr="00E003B6">
        <w:rPr>
          <w:rFonts w:ascii="宋体" w:eastAsia="宋体" w:hAnsi="宋体" w:hint="eastAsia"/>
          <w:bCs/>
          <w:sz w:val="24"/>
          <w:szCs w:val="24"/>
        </w:rPr>
        <w:t>特色课程优化</w:t>
      </w:r>
      <w:r w:rsidRPr="00E003B6">
        <w:rPr>
          <w:rFonts w:ascii="宋体" w:eastAsia="宋体" w:hAnsi="宋体" w:hint="eastAsia"/>
          <w:bCs/>
          <w:sz w:val="24"/>
          <w:szCs w:val="24"/>
        </w:rPr>
        <w:t>、成果展示等相关内涵建设服务</w:t>
      </w:r>
    </w:p>
    <w:p w:rsidR="00053A3C" w:rsidRPr="00E003B6" w:rsidRDefault="00780419">
      <w:pPr>
        <w:spacing w:line="440" w:lineRule="exact"/>
        <w:rPr>
          <w:rFonts w:ascii="宋体" w:eastAsia="宋体" w:hAnsi="宋体"/>
          <w:sz w:val="24"/>
          <w:szCs w:val="24"/>
        </w:rPr>
      </w:pPr>
      <w:r w:rsidRPr="00E003B6">
        <w:rPr>
          <w:rFonts w:ascii="宋体" w:eastAsia="宋体" w:hAnsi="宋体" w:hint="eastAsia"/>
          <w:b/>
          <w:sz w:val="24"/>
          <w:szCs w:val="24"/>
        </w:rPr>
        <w:t>采购预算金额：</w:t>
      </w:r>
      <w:r w:rsidRPr="00E003B6">
        <w:rPr>
          <w:rFonts w:ascii="宋体" w:eastAsia="宋体" w:hAnsi="宋体"/>
          <w:sz w:val="24"/>
          <w:szCs w:val="24"/>
        </w:rPr>
        <w:t xml:space="preserve"> </w:t>
      </w:r>
      <w:r w:rsidRPr="00E003B6">
        <w:rPr>
          <w:rFonts w:ascii="宋体" w:eastAsia="宋体" w:hAnsi="宋体" w:hint="eastAsia"/>
          <w:sz w:val="24"/>
          <w:szCs w:val="24"/>
        </w:rPr>
        <w:t>150000</w:t>
      </w:r>
      <w:r w:rsidRPr="00E003B6">
        <w:rPr>
          <w:rFonts w:ascii="宋体" w:eastAsia="宋体" w:hAnsi="宋体" w:hint="eastAsia"/>
          <w:sz w:val="24"/>
          <w:szCs w:val="24"/>
        </w:rPr>
        <w:t>元</w:t>
      </w:r>
    </w:p>
    <w:p w:rsidR="00053A3C" w:rsidRPr="00E003B6" w:rsidRDefault="00780419">
      <w:pPr>
        <w:spacing w:line="440" w:lineRule="exact"/>
        <w:rPr>
          <w:rFonts w:ascii="宋体" w:eastAsia="宋体" w:hAnsi="宋体"/>
          <w:sz w:val="24"/>
          <w:szCs w:val="24"/>
        </w:rPr>
      </w:pPr>
      <w:r w:rsidRPr="00E003B6">
        <w:rPr>
          <w:rFonts w:ascii="宋体" w:eastAsia="宋体" w:hAnsi="宋体" w:hint="eastAsia"/>
          <w:b/>
          <w:sz w:val="24"/>
          <w:szCs w:val="24"/>
        </w:rPr>
        <w:t>供应商：</w:t>
      </w:r>
      <w:r w:rsidRPr="00E003B6">
        <w:rPr>
          <w:rFonts w:ascii="宋体" w:eastAsia="宋体" w:hAnsi="宋体"/>
          <w:sz w:val="24"/>
          <w:szCs w:val="24"/>
        </w:rPr>
        <w:t xml:space="preserve"> </w:t>
      </w:r>
      <w:r w:rsidRPr="00E003B6">
        <w:rPr>
          <w:rFonts w:ascii="宋体" w:eastAsia="宋体" w:hAnsi="宋体" w:hint="eastAsia"/>
          <w:sz w:val="24"/>
          <w:szCs w:val="24"/>
        </w:rPr>
        <w:t>上海明材数字科技有限公司</w:t>
      </w:r>
    </w:p>
    <w:p w:rsidR="00053A3C" w:rsidRPr="00E003B6" w:rsidRDefault="00780419">
      <w:pPr>
        <w:spacing w:line="440" w:lineRule="exact"/>
        <w:rPr>
          <w:rFonts w:ascii="宋体" w:eastAsia="宋体" w:hAnsi="宋体"/>
          <w:b/>
          <w:sz w:val="24"/>
          <w:szCs w:val="24"/>
        </w:rPr>
      </w:pPr>
      <w:r w:rsidRPr="00E003B6">
        <w:rPr>
          <w:rFonts w:ascii="宋体" w:eastAsia="宋体" w:hAnsi="宋体" w:hint="eastAsia"/>
          <w:b/>
          <w:sz w:val="24"/>
          <w:szCs w:val="24"/>
        </w:rPr>
        <w:t>供应商地址：</w:t>
      </w:r>
      <w:r w:rsidRPr="00E003B6">
        <w:rPr>
          <w:rFonts w:ascii="宋体" w:eastAsia="宋体" w:hAnsi="宋体" w:hint="eastAsia"/>
          <w:sz w:val="24"/>
          <w:szCs w:val="24"/>
        </w:rPr>
        <w:t>上海市宜山路</w:t>
      </w:r>
      <w:r w:rsidRPr="00E003B6">
        <w:rPr>
          <w:rFonts w:ascii="宋体" w:eastAsia="宋体" w:hAnsi="宋体" w:hint="eastAsia"/>
          <w:sz w:val="24"/>
          <w:szCs w:val="24"/>
        </w:rPr>
        <w:t>900</w:t>
      </w:r>
      <w:r w:rsidRPr="00E003B6">
        <w:rPr>
          <w:rFonts w:ascii="宋体" w:eastAsia="宋体" w:hAnsi="宋体" w:hint="eastAsia"/>
          <w:sz w:val="24"/>
          <w:szCs w:val="24"/>
        </w:rPr>
        <w:t>号</w:t>
      </w:r>
      <w:r w:rsidRPr="00E003B6">
        <w:rPr>
          <w:rFonts w:ascii="宋体" w:eastAsia="宋体" w:hAnsi="宋体" w:hint="eastAsia"/>
          <w:sz w:val="24"/>
          <w:szCs w:val="24"/>
        </w:rPr>
        <w:t>A</w:t>
      </w:r>
      <w:r w:rsidRPr="00E003B6">
        <w:rPr>
          <w:rFonts w:ascii="宋体" w:eastAsia="宋体" w:hAnsi="宋体" w:hint="eastAsia"/>
          <w:sz w:val="24"/>
          <w:szCs w:val="24"/>
        </w:rPr>
        <w:t>座</w:t>
      </w:r>
      <w:r w:rsidRPr="00E003B6">
        <w:rPr>
          <w:rFonts w:ascii="宋体" w:eastAsia="宋体" w:hAnsi="宋体" w:hint="eastAsia"/>
          <w:sz w:val="24"/>
          <w:szCs w:val="24"/>
        </w:rPr>
        <w:t>1509</w:t>
      </w:r>
      <w:r w:rsidRPr="00E003B6">
        <w:rPr>
          <w:rFonts w:ascii="宋体" w:eastAsia="宋体" w:hAnsi="宋体" w:hint="eastAsia"/>
          <w:sz w:val="24"/>
          <w:szCs w:val="24"/>
        </w:rPr>
        <w:t>号</w:t>
      </w:r>
    </w:p>
    <w:p w:rsidR="00053A3C" w:rsidRDefault="00780419">
      <w:pPr>
        <w:spacing w:line="440" w:lineRule="exact"/>
        <w:rPr>
          <w:rFonts w:ascii="宋体" w:eastAsia="宋体" w:hAnsi="宋体"/>
          <w:b/>
          <w:sz w:val="24"/>
          <w:szCs w:val="24"/>
        </w:rPr>
      </w:pPr>
      <w:r w:rsidRPr="00E003B6">
        <w:rPr>
          <w:rFonts w:ascii="宋体" w:eastAsia="宋体" w:hAnsi="宋体" w:hint="eastAsia"/>
          <w:b/>
          <w:sz w:val="24"/>
          <w:szCs w:val="24"/>
        </w:rPr>
        <w:t>提供的货物或服务说明：</w:t>
      </w:r>
    </w:p>
    <w:tbl>
      <w:tblPr>
        <w:tblStyle w:val="a5"/>
        <w:tblW w:w="8931" w:type="dxa"/>
        <w:tblInd w:w="-318" w:type="dxa"/>
        <w:tblLook w:val="04A0" w:firstRow="1" w:lastRow="0" w:firstColumn="1" w:lastColumn="0" w:noHBand="0" w:noVBand="1"/>
      </w:tblPr>
      <w:tblGrid>
        <w:gridCol w:w="710"/>
        <w:gridCol w:w="1417"/>
        <w:gridCol w:w="5812"/>
        <w:gridCol w:w="992"/>
      </w:tblGrid>
      <w:tr w:rsidR="00053A3C">
        <w:trPr>
          <w:trHeight w:val="487"/>
        </w:trPr>
        <w:tc>
          <w:tcPr>
            <w:tcW w:w="710" w:type="dxa"/>
          </w:tcPr>
          <w:p w:rsidR="00053A3C" w:rsidRDefault="00780419">
            <w:pPr>
              <w:rPr>
                <w:rFonts w:eastAsiaTheme="majorEastAsia"/>
                <w:b/>
                <w:sz w:val="24"/>
                <w:szCs w:val="24"/>
              </w:rPr>
            </w:pPr>
            <w:r>
              <w:rPr>
                <w:rFonts w:eastAsiaTheme="majorEastAsia" w:hint="eastAsia"/>
                <w:b/>
                <w:sz w:val="24"/>
                <w:szCs w:val="24"/>
              </w:rPr>
              <w:t>序号</w:t>
            </w:r>
          </w:p>
        </w:tc>
        <w:tc>
          <w:tcPr>
            <w:tcW w:w="1417" w:type="dxa"/>
          </w:tcPr>
          <w:p w:rsidR="00053A3C" w:rsidRDefault="00780419">
            <w:pPr>
              <w:jc w:val="center"/>
              <w:rPr>
                <w:rFonts w:eastAsiaTheme="majorEastAsia"/>
                <w:b/>
                <w:sz w:val="24"/>
                <w:szCs w:val="24"/>
              </w:rPr>
            </w:pPr>
            <w:r>
              <w:rPr>
                <w:rFonts w:eastAsiaTheme="majorEastAsia" w:hint="eastAsia"/>
                <w:b/>
                <w:sz w:val="24"/>
                <w:szCs w:val="24"/>
              </w:rPr>
              <w:t>采购内容</w:t>
            </w:r>
          </w:p>
        </w:tc>
        <w:tc>
          <w:tcPr>
            <w:tcW w:w="5812" w:type="dxa"/>
          </w:tcPr>
          <w:p w:rsidR="00053A3C" w:rsidRDefault="00780419">
            <w:pPr>
              <w:rPr>
                <w:rFonts w:eastAsiaTheme="majorEastAsia"/>
                <w:b/>
                <w:sz w:val="24"/>
                <w:szCs w:val="24"/>
              </w:rPr>
            </w:pPr>
            <w:r>
              <w:rPr>
                <w:rFonts w:eastAsiaTheme="majorEastAsia" w:hint="eastAsia"/>
                <w:b/>
                <w:sz w:val="24"/>
                <w:szCs w:val="24"/>
              </w:rPr>
              <w:t>内容相关要求</w:t>
            </w:r>
          </w:p>
        </w:tc>
        <w:tc>
          <w:tcPr>
            <w:tcW w:w="992" w:type="dxa"/>
          </w:tcPr>
          <w:p w:rsidR="00053A3C" w:rsidRDefault="00780419">
            <w:pPr>
              <w:rPr>
                <w:rFonts w:eastAsiaTheme="majorEastAsia"/>
                <w:b/>
                <w:sz w:val="24"/>
                <w:szCs w:val="24"/>
              </w:rPr>
            </w:pPr>
            <w:r>
              <w:rPr>
                <w:rFonts w:eastAsiaTheme="majorEastAsia" w:hint="eastAsia"/>
                <w:b/>
                <w:sz w:val="24"/>
                <w:szCs w:val="24"/>
              </w:rPr>
              <w:t>单位</w:t>
            </w:r>
          </w:p>
        </w:tc>
      </w:tr>
      <w:tr w:rsidR="00053A3C">
        <w:trPr>
          <w:trHeight w:val="487"/>
        </w:trPr>
        <w:tc>
          <w:tcPr>
            <w:tcW w:w="710" w:type="dxa"/>
          </w:tcPr>
          <w:p w:rsidR="00053A3C" w:rsidRDefault="00780419">
            <w:pPr>
              <w:rPr>
                <w:rFonts w:eastAsiaTheme="majorEastAsia"/>
                <w:bCs/>
                <w:sz w:val="24"/>
                <w:szCs w:val="24"/>
              </w:rPr>
            </w:pPr>
            <w:r>
              <w:rPr>
                <w:rFonts w:eastAsiaTheme="majorEastAsia" w:hint="eastAsia"/>
                <w:sz w:val="24"/>
                <w:szCs w:val="24"/>
              </w:rPr>
              <w:t>1</w:t>
            </w:r>
          </w:p>
        </w:tc>
        <w:tc>
          <w:tcPr>
            <w:tcW w:w="1417" w:type="dxa"/>
          </w:tcPr>
          <w:p w:rsidR="00053A3C" w:rsidRDefault="00780419">
            <w:pPr>
              <w:rPr>
                <w:rFonts w:eastAsiaTheme="majorEastAsia"/>
                <w:bCs/>
                <w:sz w:val="24"/>
                <w:szCs w:val="24"/>
              </w:rPr>
            </w:pPr>
            <w:r>
              <w:rPr>
                <w:rFonts w:eastAsiaTheme="majorEastAsia" w:hint="eastAsia"/>
                <w:sz w:val="24"/>
                <w:szCs w:val="24"/>
              </w:rPr>
              <w:t>学堂</w:t>
            </w:r>
            <w:proofErr w:type="gramStart"/>
            <w:r>
              <w:rPr>
                <w:rFonts w:eastAsiaTheme="majorEastAsia" w:hint="eastAsia"/>
                <w:sz w:val="24"/>
                <w:szCs w:val="24"/>
              </w:rPr>
              <w:t>班文化</w:t>
            </w:r>
            <w:proofErr w:type="gramEnd"/>
            <w:r>
              <w:rPr>
                <w:rFonts w:eastAsiaTheme="majorEastAsia" w:hint="eastAsia"/>
                <w:sz w:val="24"/>
                <w:szCs w:val="24"/>
              </w:rPr>
              <w:t>建设</w:t>
            </w:r>
          </w:p>
        </w:tc>
        <w:tc>
          <w:tcPr>
            <w:tcW w:w="5812" w:type="dxa"/>
          </w:tcPr>
          <w:p w:rsidR="00053A3C" w:rsidRDefault="00780419">
            <w:pPr>
              <w:rPr>
                <w:rFonts w:eastAsiaTheme="majorEastAsia"/>
                <w:bCs/>
                <w:sz w:val="24"/>
                <w:szCs w:val="24"/>
              </w:rPr>
            </w:pPr>
            <w:r>
              <w:rPr>
                <w:rFonts w:eastAsiaTheme="majorEastAsia" w:hint="eastAsia"/>
                <w:sz w:val="24"/>
                <w:szCs w:val="24"/>
              </w:rPr>
              <w:t>结合本校文化</w:t>
            </w:r>
            <w:proofErr w:type="gramStart"/>
            <w:r>
              <w:rPr>
                <w:rFonts w:eastAsiaTheme="majorEastAsia" w:hint="eastAsia"/>
                <w:sz w:val="24"/>
                <w:szCs w:val="24"/>
              </w:rPr>
              <w:t>以及明材工</w:t>
            </w:r>
            <w:proofErr w:type="gramEnd"/>
            <w:r>
              <w:rPr>
                <w:rFonts w:eastAsiaTheme="majorEastAsia" w:hint="eastAsia"/>
                <w:sz w:val="24"/>
                <w:szCs w:val="24"/>
              </w:rPr>
              <w:t>赋学堂统一</w:t>
            </w:r>
            <w:r>
              <w:rPr>
                <w:rFonts w:eastAsiaTheme="majorEastAsia" w:hint="eastAsia"/>
                <w:sz w:val="24"/>
                <w:szCs w:val="24"/>
              </w:rPr>
              <w:t>VI</w:t>
            </w:r>
            <w:r>
              <w:rPr>
                <w:rFonts w:eastAsiaTheme="majorEastAsia" w:hint="eastAsia"/>
                <w:sz w:val="24"/>
                <w:szCs w:val="24"/>
              </w:rPr>
              <w:t>文化布置及学堂文化用品定制要求，完成具有统一的项目文化建设。，包含但不限于以下工作内容：</w:t>
            </w:r>
          </w:p>
          <w:p w:rsidR="00053A3C" w:rsidRDefault="00780419">
            <w:pPr>
              <w:pStyle w:val="a6"/>
              <w:numPr>
                <w:ilvl w:val="0"/>
                <w:numId w:val="1"/>
              </w:numPr>
              <w:ind w:firstLineChars="0"/>
              <w:rPr>
                <w:rFonts w:eastAsiaTheme="majorEastAsia"/>
                <w:bCs w:val="0"/>
                <w:sz w:val="24"/>
                <w:szCs w:val="24"/>
              </w:rPr>
            </w:pPr>
            <w:r>
              <w:rPr>
                <w:rFonts w:eastAsiaTheme="majorEastAsia" w:hint="eastAsia"/>
                <w:bCs w:val="0"/>
                <w:sz w:val="24"/>
                <w:szCs w:val="24"/>
              </w:rPr>
              <w:t>确定文化主题与内容</w:t>
            </w:r>
          </w:p>
          <w:p w:rsidR="00053A3C" w:rsidRDefault="00780419">
            <w:pPr>
              <w:pStyle w:val="a6"/>
              <w:numPr>
                <w:ilvl w:val="0"/>
                <w:numId w:val="1"/>
              </w:numPr>
              <w:ind w:firstLineChars="0"/>
              <w:rPr>
                <w:rFonts w:eastAsiaTheme="majorEastAsia"/>
                <w:bCs w:val="0"/>
                <w:sz w:val="24"/>
                <w:szCs w:val="24"/>
              </w:rPr>
            </w:pPr>
            <w:r>
              <w:rPr>
                <w:rFonts w:eastAsiaTheme="majorEastAsia" w:hint="eastAsia"/>
                <w:bCs w:val="0"/>
                <w:sz w:val="24"/>
                <w:szCs w:val="24"/>
              </w:rPr>
              <w:t>收集与整理素材</w:t>
            </w:r>
          </w:p>
          <w:p w:rsidR="00053A3C" w:rsidRDefault="00780419">
            <w:pPr>
              <w:pStyle w:val="a6"/>
              <w:numPr>
                <w:ilvl w:val="0"/>
                <w:numId w:val="1"/>
              </w:numPr>
              <w:ind w:firstLineChars="0"/>
              <w:rPr>
                <w:rFonts w:eastAsiaTheme="majorEastAsia"/>
                <w:bCs w:val="0"/>
                <w:sz w:val="24"/>
                <w:szCs w:val="24"/>
              </w:rPr>
            </w:pPr>
            <w:r>
              <w:rPr>
                <w:rFonts w:eastAsiaTheme="majorEastAsia" w:hint="eastAsia"/>
                <w:bCs w:val="0"/>
                <w:sz w:val="24"/>
                <w:szCs w:val="24"/>
              </w:rPr>
              <w:t>文化设计</w:t>
            </w:r>
          </w:p>
          <w:p w:rsidR="00053A3C" w:rsidRDefault="00780419">
            <w:pPr>
              <w:pStyle w:val="a6"/>
              <w:numPr>
                <w:ilvl w:val="0"/>
                <w:numId w:val="1"/>
              </w:numPr>
              <w:ind w:firstLineChars="0"/>
              <w:rPr>
                <w:rFonts w:eastAsiaTheme="majorEastAsia"/>
                <w:bCs w:val="0"/>
                <w:sz w:val="24"/>
                <w:szCs w:val="24"/>
              </w:rPr>
            </w:pPr>
            <w:r>
              <w:rPr>
                <w:rFonts w:eastAsiaTheme="majorEastAsia" w:hint="eastAsia"/>
                <w:bCs w:val="0"/>
                <w:sz w:val="24"/>
                <w:szCs w:val="24"/>
              </w:rPr>
              <w:t>内容制作</w:t>
            </w:r>
          </w:p>
          <w:p w:rsidR="00053A3C" w:rsidRDefault="00780419">
            <w:pPr>
              <w:pStyle w:val="a6"/>
              <w:numPr>
                <w:ilvl w:val="0"/>
                <w:numId w:val="1"/>
              </w:numPr>
              <w:ind w:firstLineChars="0"/>
              <w:rPr>
                <w:rFonts w:eastAsiaTheme="majorEastAsia"/>
                <w:bCs w:val="0"/>
                <w:sz w:val="24"/>
                <w:szCs w:val="24"/>
              </w:rPr>
            </w:pPr>
            <w:r>
              <w:rPr>
                <w:rFonts w:eastAsiaTheme="majorEastAsia" w:hint="eastAsia"/>
                <w:bCs w:val="0"/>
                <w:sz w:val="24"/>
                <w:szCs w:val="24"/>
              </w:rPr>
              <w:t>审核与修订</w:t>
            </w:r>
          </w:p>
          <w:p w:rsidR="00053A3C" w:rsidRDefault="00780419">
            <w:pPr>
              <w:pStyle w:val="a6"/>
              <w:numPr>
                <w:ilvl w:val="0"/>
                <w:numId w:val="1"/>
              </w:numPr>
              <w:ind w:firstLineChars="0"/>
              <w:rPr>
                <w:rFonts w:eastAsiaTheme="majorEastAsia"/>
                <w:bCs w:val="0"/>
                <w:sz w:val="24"/>
                <w:szCs w:val="24"/>
              </w:rPr>
            </w:pPr>
            <w:r>
              <w:rPr>
                <w:rFonts w:eastAsiaTheme="majorEastAsia" w:hint="eastAsia"/>
                <w:bCs w:val="0"/>
                <w:sz w:val="24"/>
                <w:szCs w:val="24"/>
              </w:rPr>
              <w:t>打印与布置</w:t>
            </w:r>
          </w:p>
        </w:tc>
        <w:tc>
          <w:tcPr>
            <w:tcW w:w="992" w:type="dxa"/>
          </w:tcPr>
          <w:p w:rsidR="00053A3C" w:rsidRDefault="00780419">
            <w:pPr>
              <w:rPr>
                <w:rFonts w:eastAsiaTheme="majorEastAsia"/>
                <w:bCs/>
                <w:sz w:val="24"/>
                <w:szCs w:val="24"/>
              </w:rPr>
            </w:pPr>
            <w:r>
              <w:rPr>
                <w:rFonts w:eastAsiaTheme="majorEastAsia" w:hint="eastAsia"/>
                <w:sz w:val="24"/>
                <w:szCs w:val="24"/>
              </w:rPr>
              <w:t>1</w:t>
            </w:r>
            <w:r>
              <w:rPr>
                <w:rFonts w:eastAsiaTheme="majorEastAsia" w:hint="eastAsia"/>
                <w:sz w:val="24"/>
                <w:szCs w:val="24"/>
              </w:rPr>
              <w:t>项</w:t>
            </w:r>
          </w:p>
        </w:tc>
      </w:tr>
      <w:tr w:rsidR="00053A3C">
        <w:trPr>
          <w:trHeight w:val="487"/>
        </w:trPr>
        <w:tc>
          <w:tcPr>
            <w:tcW w:w="710" w:type="dxa"/>
          </w:tcPr>
          <w:p w:rsidR="00053A3C" w:rsidRDefault="00780419">
            <w:pPr>
              <w:rPr>
                <w:rFonts w:eastAsiaTheme="majorEastAsia"/>
                <w:bCs/>
                <w:sz w:val="24"/>
                <w:szCs w:val="24"/>
              </w:rPr>
            </w:pPr>
            <w:r>
              <w:rPr>
                <w:rFonts w:eastAsiaTheme="majorEastAsia" w:hint="eastAsia"/>
                <w:sz w:val="24"/>
                <w:szCs w:val="24"/>
              </w:rPr>
              <w:t>2</w:t>
            </w:r>
          </w:p>
        </w:tc>
        <w:tc>
          <w:tcPr>
            <w:tcW w:w="1417" w:type="dxa"/>
          </w:tcPr>
          <w:p w:rsidR="00053A3C" w:rsidRDefault="00780419">
            <w:pPr>
              <w:spacing w:line="360" w:lineRule="auto"/>
              <w:rPr>
                <w:rFonts w:eastAsiaTheme="majorEastAsia"/>
                <w:bCs/>
                <w:sz w:val="24"/>
                <w:szCs w:val="24"/>
              </w:rPr>
            </w:pPr>
            <w:bookmarkStart w:id="1" w:name="_Hlk167805754"/>
            <w:r>
              <w:rPr>
                <w:rFonts w:eastAsiaTheme="majorEastAsia" w:hint="eastAsia"/>
                <w:sz w:val="24"/>
                <w:szCs w:val="24"/>
              </w:rPr>
              <w:t>专项师资培训</w:t>
            </w:r>
            <w:bookmarkEnd w:id="1"/>
          </w:p>
        </w:tc>
        <w:tc>
          <w:tcPr>
            <w:tcW w:w="5812" w:type="dxa"/>
          </w:tcPr>
          <w:p w:rsidR="00053A3C" w:rsidRDefault="00780419">
            <w:pPr>
              <w:spacing w:line="360" w:lineRule="auto"/>
              <w:rPr>
                <w:rFonts w:eastAsiaTheme="majorEastAsia"/>
                <w:bCs/>
                <w:sz w:val="24"/>
                <w:szCs w:val="24"/>
              </w:rPr>
            </w:pPr>
            <w:r>
              <w:rPr>
                <w:rFonts w:eastAsiaTheme="majorEastAsia" w:hint="eastAsia"/>
                <w:sz w:val="24"/>
                <w:szCs w:val="24"/>
              </w:rPr>
              <w:t>在“学堂”项目组专家的指导下，在“学堂”项目组专家的指导下，结合市级教师教学创新团队建设目标，组织项目相关教师开展复合型的师资培训。</w:t>
            </w:r>
          </w:p>
        </w:tc>
        <w:tc>
          <w:tcPr>
            <w:tcW w:w="992" w:type="dxa"/>
          </w:tcPr>
          <w:p w:rsidR="00053A3C" w:rsidRDefault="00780419">
            <w:pPr>
              <w:spacing w:line="360" w:lineRule="auto"/>
              <w:rPr>
                <w:rFonts w:eastAsiaTheme="majorEastAsia"/>
                <w:bCs/>
                <w:sz w:val="24"/>
                <w:szCs w:val="24"/>
              </w:rPr>
            </w:pPr>
            <w:r>
              <w:rPr>
                <w:rFonts w:eastAsiaTheme="majorEastAsia" w:hint="eastAsia"/>
                <w:sz w:val="24"/>
                <w:szCs w:val="24"/>
              </w:rPr>
              <w:t>1</w:t>
            </w:r>
            <w:r>
              <w:rPr>
                <w:rFonts w:eastAsiaTheme="majorEastAsia" w:hint="eastAsia"/>
                <w:sz w:val="24"/>
                <w:szCs w:val="24"/>
              </w:rPr>
              <w:t>项</w:t>
            </w:r>
          </w:p>
        </w:tc>
      </w:tr>
      <w:tr w:rsidR="00053A3C">
        <w:trPr>
          <w:trHeight w:val="487"/>
        </w:trPr>
        <w:tc>
          <w:tcPr>
            <w:tcW w:w="710" w:type="dxa"/>
          </w:tcPr>
          <w:p w:rsidR="00053A3C" w:rsidRDefault="00780419">
            <w:pPr>
              <w:rPr>
                <w:rFonts w:eastAsiaTheme="majorEastAsia"/>
                <w:sz w:val="24"/>
                <w:szCs w:val="24"/>
              </w:rPr>
            </w:pPr>
            <w:r>
              <w:rPr>
                <w:rFonts w:eastAsiaTheme="majorEastAsia" w:hint="eastAsia"/>
                <w:sz w:val="24"/>
                <w:szCs w:val="24"/>
              </w:rPr>
              <w:t>3</w:t>
            </w:r>
          </w:p>
        </w:tc>
        <w:tc>
          <w:tcPr>
            <w:tcW w:w="1417" w:type="dxa"/>
          </w:tcPr>
          <w:p w:rsidR="00053A3C" w:rsidRDefault="00780419">
            <w:pPr>
              <w:spacing w:line="360" w:lineRule="auto"/>
              <w:rPr>
                <w:rFonts w:eastAsiaTheme="majorEastAsia"/>
                <w:sz w:val="24"/>
                <w:szCs w:val="24"/>
              </w:rPr>
            </w:pPr>
            <w:r>
              <w:rPr>
                <w:rFonts w:eastAsiaTheme="majorEastAsia" w:hint="eastAsia"/>
                <w:sz w:val="24"/>
                <w:szCs w:val="24"/>
              </w:rPr>
              <w:t>BTEC</w:t>
            </w:r>
            <w:r>
              <w:rPr>
                <w:rFonts w:eastAsiaTheme="majorEastAsia" w:hint="eastAsia"/>
                <w:sz w:val="24"/>
                <w:szCs w:val="24"/>
              </w:rPr>
              <w:t>中心材料梳理和指导</w:t>
            </w:r>
          </w:p>
        </w:tc>
        <w:tc>
          <w:tcPr>
            <w:tcW w:w="5812" w:type="dxa"/>
          </w:tcPr>
          <w:p w:rsidR="00053A3C" w:rsidRDefault="00780419">
            <w:pPr>
              <w:spacing w:line="360" w:lineRule="auto"/>
              <w:rPr>
                <w:rFonts w:eastAsiaTheme="majorEastAsia"/>
                <w:sz w:val="24"/>
                <w:szCs w:val="24"/>
              </w:rPr>
            </w:pPr>
            <w:r>
              <w:rPr>
                <w:rFonts w:eastAsiaTheme="majorEastAsia" w:hint="eastAsia"/>
                <w:sz w:val="24"/>
                <w:szCs w:val="24"/>
              </w:rPr>
              <w:t>给予学校申报</w:t>
            </w:r>
            <w:r>
              <w:rPr>
                <w:rFonts w:eastAsiaTheme="majorEastAsia" w:hint="eastAsia"/>
                <w:sz w:val="24"/>
                <w:szCs w:val="24"/>
              </w:rPr>
              <w:t>BTEC</w:t>
            </w:r>
            <w:r>
              <w:rPr>
                <w:rFonts w:eastAsiaTheme="majorEastAsia" w:hint="eastAsia"/>
                <w:sz w:val="24"/>
                <w:szCs w:val="24"/>
              </w:rPr>
              <w:t>中心指导与材料梳理，准备详细的申报材料，与</w:t>
            </w:r>
            <w:r>
              <w:rPr>
                <w:rFonts w:eastAsiaTheme="majorEastAsia" w:hint="eastAsia"/>
                <w:sz w:val="24"/>
                <w:szCs w:val="24"/>
              </w:rPr>
              <w:t>BTEC</w:t>
            </w:r>
            <w:r>
              <w:rPr>
                <w:rFonts w:eastAsiaTheme="majorEastAsia" w:hint="eastAsia"/>
                <w:sz w:val="24"/>
                <w:szCs w:val="24"/>
              </w:rPr>
              <w:t>官方或相关机构进行充分的沟通和咨询，确保申报材料的准确性和完整性。同时，根据机构或学校的实际情况和特点，突出自身的优势和特色，提高申报的成功率。</w:t>
            </w:r>
          </w:p>
        </w:tc>
        <w:tc>
          <w:tcPr>
            <w:tcW w:w="992" w:type="dxa"/>
          </w:tcPr>
          <w:p w:rsidR="00053A3C" w:rsidRDefault="00780419">
            <w:pPr>
              <w:spacing w:line="360" w:lineRule="auto"/>
              <w:rPr>
                <w:rFonts w:eastAsiaTheme="majorEastAsia"/>
                <w:sz w:val="24"/>
                <w:szCs w:val="24"/>
              </w:rPr>
            </w:pPr>
            <w:r>
              <w:rPr>
                <w:rFonts w:eastAsiaTheme="majorEastAsia" w:hint="eastAsia"/>
                <w:sz w:val="24"/>
                <w:szCs w:val="24"/>
              </w:rPr>
              <w:t>1</w:t>
            </w:r>
            <w:r>
              <w:rPr>
                <w:rFonts w:eastAsiaTheme="majorEastAsia" w:hint="eastAsia"/>
                <w:sz w:val="24"/>
                <w:szCs w:val="24"/>
              </w:rPr>
              <w:t>项</w:t>
            </w:r>
          </w:p>
        </w:tc>
      </w:tr>
      <w:tr w:rsidR="00053A3C">
        <w:trPr>
          <w:trHeight w:val="487"/>
        </w:trPr>
        <w:tc>
          <w:tcPr>
            <w:tcW w:w="710" w:type="dxa"/>
          </w:tcPr>
          <w:p w:rsidR="00053A3C" w:rsidRDefault="00780419">
            <w:pPr>
              <w:rPr>
                <w:rFonts w:eastAsiaTheme="majorEastAsia"/>
                <w:sz w:val="24"/>
                <w:szCs w:val="24"/>
              </w:rPr>
            </w:pPr>
            <w:r>
              <w:rPr>
                <w:rFonts w:eastAsiaTheme="majorEastAsia" w:hint="eastAsia"/>
                <w:sz w:val="24"/>
                <w:szCs w:val="24"/>
              </w:rPr>
              <w:t>4</w:t>
            </w:r>
          </w:p>
        </w:tc>
        <w:tc>
          <w:tcPr>
            <w:tcW w:w="1417" w:type="dxa"/>
          </w:tcPr>
          <w:p w:rsidR="00053A3C" w:rsidRDefault="00780419">
            <w:pPr>
              <w:rPr>
                <w:rFonts w:eastAsiaTheme="majorEastAsia"/>
                <w:sz w:val="24"/>
                <w:szCs w:val="24"/>
              </w:rPr>
            </w:pPr>
            <w:r>
              <w:rPr>
                <w:rFonts w:eastAsiaTheme="majorEastAsia" w:hint="eastAsia"/>
                <w:sz w:val="24"/>
                <w:szCs w:val="24"/>
              </w:rPr>
              <w:t>项目过程性材料及成果展示</w:t>
            </w:r>
          </w:p>
        </w:tc>
        <w:tc>
          <w:tcPr>
            <w:tcW w:w="5812" w:type="dxa"/>
          </w:tcPr>
          <w:p w:rsidR="00053A3C" w:rsidRDefault="00780419">
            <w:pPr>
              <w:pStyle w:val="a6"/>
              <w:numPr>
                <w:ilvl w:val="0"/>
                <w:numId w:val="2"/>
              </w:numPr>
              <w:ind w:firstLineChars="0"/>
              <w:rPr>
                <w:rFonts w:eastAsiaTheme="majorEastAsia"/>
                <w:bCs w:val="0"/>
                <w:sz w:val="24"/>
                <w:szCs w:val="24"/>
              </w:rPr>
            </w:pPr>
            <w:proofErr w:type="gramStart"/>
            <w:r>
              <w:rPr>
                <w:rFonts w:eastAsiaTheme="majorEastAsia" w:hint="eastAsia"/>
                <w:bCs w:val="0"/>
                <w:sz w:val="24"/>
                <w:szCs w:val="24"/>
              </w:rPr>
              <w:t>完成明材工</w:t>
            </w:r>
            <w:proofErr w:type="gramEnd"/>
            <w:r>
              <w:rPr>
                <w:rFonts w:eastAsiaTheme="majorEastAsia" w:hint="eastAsia"/>
                <w:bCs w:val="0"/>
                <w:sz w:val="24"/>
                <w:szCs w:val="24"/>
              </w:rPr>
              <w:t>赋学堂</w:t>
            </w:r>
            <w:r>
              <w:rPr>
                <w:rFonts w:eastAsiaTheme="majorEastAsia" w:hint="eastAsia"/>
                <w:bCs w:val="0"/>
                <w:sz w:val="24"/>
                <w:szCs w:val="24"/>
              </w:rPr>
              <w:t>6</w:t>
            </w:r>
            <w:r>
              <w:rPr>
                <w:rFonts w:eastAsiaTheme="majorEastAsia" w:hint="eastAsia"/>
                <w:bCs w:val="0"/>
                <w:sz w:val="24"/>
                <w:szCs w:val="24"/>
              </w:rPr>
              <w:t>大基本任务包含</w:t>
            </w:r>
            <w:r>
              <w:rPr>
                <w:rFonts w:eastAsiaTheme="majorEastAsia" w:hint="eastAsia"/>
                <w:bCs w:val="0"/>
                <w:sz w:val="24"/>
                <w:szCs w:val="24"/>
              </w:rPr>
              <w:t>1.</w:t>
            </w:r>
            <w:proofErr w:type="gramStart"/>
            <w:r>
              <w:rPr>
                <w:rFonts w:eastAsiaTheme="majorEastAsia" w:hint="eastAsia"/>
                <w:bCs w:val="0"/>
                <w:sz w:val="24"/>
                <w:szCs w:val="24"/>
              </w:rPr>
              <w:t>组建明材工</w:t>
            </w:r>
            <w:proofErr w:type="gramEnd"/>
            <w:r>
              <w:rPr>
                <w:rFonts w:eastAsiaTheme="majorEastAsia" w:hint="eastAsia"/>
                <w:bCs w:val="0"/>
                <w:sz w:val="24"/>
                <w:szCs w:val="24"/>
              </w:rPr>
              <w:t>赋学堂班；</w:t>
            </w:r>
            <w:r>
              <w:rPr>
                <w:rFonts w:eastAsiaTheme="majorEastAsia" w:hint="eastAsia"/>
                <w:bCs w:val="0"/>
                <w:sz w:val="24"/>
                <w:szCs w:val="24"/>
              </w:rPr>
              <w:t>2.</w:t>
            </w:r>
            <w:r>
              <w:rPr>
                <w:rFonts w:eastAsiaTheme="majorEastAsia" w:hint="eastAsia"/>
                <w:bCs w:val="0"/>
                <w:sz w:val="24"/>
                <w:szCs w:val="24"/>
              </w:rPr>
              <w:t>依托数字孪生技术，构建专业特</w:t>
            </w:r>
            <w:r>
              <w:rPr>
                <w:rFonts w:eastAsiaTheme="majorEastAsia" w:hint="eastAsia"/>
                <w:bCs w:val="0"/>
                <w:sz w:val="24"/>
                <w:szCs w:val="24"/>
              </w:rPr>
              <w:lastRenderedPageBreak/>
              <w:t>色课程体系；</w:t>
            </w:r>
            <w:r>
              <w:rPr>
                <w:rFonts w:eastAsiaTheme="majorEastAsia" w:hint="eastAsia"/>
                <w:bCs w:val="0"/>
                <w:sz w:val="24"/>
                <w:szCs w:val="24"/>
              </w:rPr>
              <w:t>3.</w:t>
            </w:r>
            <w:r>
              <w:rPr>
                <w:rFonts w:eastAsiaTheme="majorEastAsia" w:hint="eastAsia"/>
                <w:bCs w:val="0"/>
                <w:sz w:val="24"/>
                <w:szCs w:val="24"/>
              </w:rPr>
              <w:t>优化</w:t>
            </w:r>
            <w:r>
              <w:rPr>
                <w:rFonts w:eastAsiaTheme="majorEastAsia" w:hint="eastAsia"/>
                <w:bCs w:val="0"/>
                <w:sz w:val="24"/>
                <w:szCs w:val="24"/>
              </w:rPr>
              <w:t>人文</w:t>
            </w:r>
            <w:proofErr w:type="gramStart"/>
            <w:r>
              <w:rPr>
                <w:rFonts w:eastAsiaTheme="majorEastAsia" w:hint="eastAsia"/>
                <w:bCs w:val="0"/>
                <w:sz w:val="24"/>
                <w:szCs w:val="24"/>
              </w:rPr>
              <w:t>类核心</w:t>
            </w:r>
            <w:proofErr w:type="gramEnd"/>
            <w:r>
              <w:rPr>
                <w:rFonts w:eastAsiaTheme="majorEastAsia" w:hint="eastAsia"/>
                <w:bCs w:val="0"/>
                <w:sz w:val="24"/>
                <w:szCs w:val="24"/>
              </w:rPr>
              <w:t>课程，助力提升学生人文素养；</w:t>
            </w:r>
            <w:r>
              <w:rPr>
                <w:rFonts w:eastAsiaTheme="majorEastAsia" w:hint="eastAsia"/>
                <w:bCs w:val="0"/>
                <w:sz w:val="24"/>
                <w:szCs w:val="24"/>
              </w:rPr>
              <w:t>4.</w:t>
            </w:r>
            <w:r>
              <w:rPr>
                <w:rFonts w:eastAsiaTheme="majorEastAsia" w:hint="eastAsia"/>
                <w:bCs w:val="0"/>
                <w:sz w:val="24"/>
                <w:szCs w:val="24"/>
              </w:rPr>
              <w:t>数字化校企对接平台赋能教育教学，推动教育治理高效化、精准化；</w:t>
            </w:r>
            <w:r>
              <w:rPr>
                <w:rFonts w:eastAsiaTheme="majorEastAsia" w:hint="eastAsia"/>
                <w:bCs w:val="0"/>
                <w:sz w:val="24"/>
                <w:szCs w:val="24"/>
              </w:rPr>
              <w:t>5.</w:t>
            </w:r>
            <w:r>
              <w:rPr>
                <w:rFonts w:eastAsiaTheme="majorEastAsia" w:hint="eastAsia"/>
                <w:bCs w:val="0"/>
                <w:sz w:val="24"/>
                <w:szCs w:val="24"/>
              </w:rPr>
              <w:t>开展专项师资培训，提升教学质量和水平；</w:t>
            </w:r>
            <w:r>
              <w:rPr>
                <w:rFonts w:eastAsiaTheme="majorEastAsia" w:hint="eastAsia"/>
                <w:bCs w:val="0"/>
                <w:sz w:val="24"/>
                <w:szCs w:val="24"/>
              </w:rPr>
              <w:t>6.</w:t>
            </w:r>
            <w:r>
              <w:rPr>
                <w:rFonts w:eastAsiaTheme="majorEastAsia" w:hint="eastAsia"/>
                <w:bCs w:val="0"/>
                <w:sz w:val="24"/>
                <w:szCs w:val="24"/>
              </w:rPr>
              <w:t>加强国际交流与合作，提升职业教育对外开放水平的材料梳理与成果提炼。</w:t>
            </w:r>
          </w:p>
          <w:p w:rsidR="00053A3C" w:rsidRDefault="00780419">
            <w:pPr>
              <w:pStyle w:val="a6"/>
              <w:numPr>
                <w:ilvl w:val="0"/>
                <w:numId w:val="2"/>
              </w:numPr>
              <w:ind w:firstLineChars="0"/>
              <w:rPr>
                <w:rFonts w:eastAsiaTheme="majorEastAsia"/>
                <w:bCs w:val="0"/>
                <w:sz w:val="24"/>
                <w:szCs w:val="24"/>
              </w:rPr>
            </w:pPr>
            <w:r>
              <w:rPr>
                <w:rFonts w:eastAsiaTheme="majorEastAsia" w:hint="eastAsia"/>
                <w:bCs w:val="0"/>
                <w:sz w:val="24"/>
                <w:szCs w:val="24"/>
              </w:rPr>
              <w:t>协助完成项目启动、推进、成果总结提炼等工作</w:t>
            </w:r>
          </w:p>
          <w:p w:rsidR="00053A3C" w:rsidRDefault="00780419">
            <w:pPr>
              <w:pStyle w:val="a6"/>
              <w:numPr>
                <w:ilvl w:val="0"/>
                <w:numId w:val="2"/>
              </w:numPr>
              <w:ind w:firstLineChars="0"/>
              <w:rPr>
                <w:rFonts w:eastAsiaTheme="majorEastAsia"/>
                <w:sz w:val="24"/>
                <w:szCs w:val="24"/>
              </w:rPr>
            </w:pPr>
            <w:r>
              <w:rPr>
                <w:rFonts w:eastAsiaTheme="majorEastAsia" w:hint="eastAsia"/>
                <w:sz w:val="24"/>
                <w:szCs w:val="24"/>
              </w:rPr>
              <w:t>完成过程性材料及成果数字化展示工作。</w:t>
            </w:r>
          </w:p>
        </w:tc>
        <w:tc>
          <w:tcPr>
            <w:tcW w:w="992" w:type="dxa"/>
          </w:tcPr>
          <w:p w:rsidR="00053A3C" w:rsidRDefault="00780419">
            <w:pPr>
              <w:rPr>
                <w:rFonts w:eastAsiaTheme="majorEastAsia"/>
                <w:sz w:val="24"/>
                <w:szCs w:val="24"/>
              </w:rPr>
            </w:pPr>
            <w:r>
              <w:rPr>
                <w:rFonts w:eastAsiaTheme="majorEastAsia" w:hint="eastAsia"/>
                <w:sz w:val="24"/>
                <w:szCs w:val="24"/>
              </w:rPr>
              <w:lastRenderedPageBreak/>
              <w:t>1</w:t>
            </w:r>
            <w:r>
              <w:rPr>
                <w:rFonts w:eastAsiaTheme="majorEastAsia" w:hint="eastAsia"/>
                <w:sz w:val="24"/>
                <w:szCs w:val="24"/>
              </w:rPr>
              <w:t>项</w:t>
            </w:r>
          </w:p>
        </w:tc>
      </w:tr>
    </w:tbl>
    <w:p w:rsidR="00053A3C" w:rsidRDefault="00780419">
      <w:pPr>
        <w:spacing w:line="440" w:lineRule="exact"/>
        <w:rPr>
          <w:rFonts w:ascii="宋体" w:eastAsia="宋体" w:hAnsi="宋体"/>
          <w:b/>
          <w:sz w:val="24"/>
          <w:szCs w:val="24"/>
        </w:rPr>
      </w:pPr>
      <w:r w:rsidRPr="00E003B6">
        <w:rPr>
          <w:rFonts w:ascii="宋体" w:eastAsia="宋体" w:hAnsi="宋体" w:hint="eastAsia"/>
          <w:b/>
          <w:sz w:val="24"/>
          <w:szCs w:val="24"/>
        </w:rPr>
        <w:lastRenderedPageBreak/>
        <w:t>单一采购理由：</w:t>
      </w:r>
      <w:r w:rsidRPr="00E003B6">
        <w:rPr>
          <w:rFonts w:ascii="宋体" w:eastAsia="宋体" w:hAnsi="宋体" w:hint="eastAsia"/>
          <w:bCs/>
          <w:sz w:val="24"/>
          <w:szCs w:val="24"/>
        </w:rPr>
        <w:t>中外人文明材工赋学堂项目是上海明材数字科技有限公司与教育部中外人文交流中心共同运营的项</w:t>
      </w:r>
      <w:r>
        <w:rPr>
          <w:rFonts w:ascii="宋体" w:eastAsia="宋体" w:hAnsi="宋体" w:hint="eastAsia"/>
          <w:bCs/>
          <w:sz w:val="24"/>
          <w:szCs w:val="24"/>
        </w:rPr>
        <w:t>目，本项目的建设内容中如</w:t>
      </w:r>
      <w:proofErr w:type="gramStart"/>
      <w:r>
        <w:rPr>
          <w:rFonts w:ascii="宋体" w:eastAsia="宋体" w:hAnsi="宋体" w:hint="eastAsia"/>
          <w:bCs/>
          <w:sz w:val="24"/>
          <w:szCs w:val="24"/>
        </w:rPr>
        <w:t>组建明材工</w:t>
      </w:r>
      <w:proofErr w:type="gramEnd"/>
      <w:r>
        <w:rPr>
          <w:rFonts w:ascii="宋体" w:eastAsia="宋体" w:hAnsi="宋体" w:hint="eastAsia"/>
          <w:bCs/>
          <w:sz w:val="24"/>
          <w:szCs w:val="24"/>
        </w:rPr>
        <w:t>赋学堂班、“技术</w:t>
      </w:r>
      <w:r>
        <w:rPr>
          <w:rFonts w:ascii="宋体" w:eastAsia="宋体" w:hAnsi="宋体" w:hint="eastAsia"/>
          <w:bCs/>
          <w:sz w:val="24"/>
          <w:szCs w:val="24"/>
        </w:rPr>
        <w:t>+</w:t>
      </w:r>
      <w:r>
        <w:rPr>
          <w:rFonts w:ascii="宋体" w:eastAsia="宋体" w:hAnsi="宋体" w:hint="eastAsia"/>
          <w:bCs/>
          <w:sz w:val="24"/>
          <w:szCs w:val="24"/>
        </w:rPr>
        <w:t>人文”人才方案的修订等建设内容属于上海</w:t>
      </w:r>
      <w:proofErr w:type="gramStart"/>
      <w:r>
        <w:rPr>
          <w:rFonts w:ascii="宋体" w:eastAsia="宋体" w:hAnsi="宋体" w:hint="eastAsia"/>
          <w:bCs/>
          <w:sz w:val="24"/>
          <w:szCs w:val="24"/>
        </w:rPr>
        <w:t>明材不可</w:t>
      </w:r>
      <w:proofErr w:type="gramEnd"/>
      <w:r>
        <w:rPr>
          <w:rFonts w:ascii="宋体" w:eastAsia="宋体" w:hAnsi="宋体" w:hint="eastAsia"/>
          <w:bCs/>
          <w:sz w:val="24"/>
          <w:szCs w:val="24"/>
        </w:rPr>
        <w:t>替代专有技术及服务项目，具有特殊性，故本项目采用单一来源的采购形式，由</w:t>
      </w:r>
      <w:proofErr w:type="gramStart"/>
      <w:r>
        <w:rPr>
          <w:rFonts w:ascii="宋体" w:eastAsia="宋体" w:hAnsi="宋体" w:hint="eastAsia"/>
          <w:bCs/>
          <w:sz w:val="24"/>
          <w:szCs w:val="24"/>
        </w:rPr>
        <w:t>上海明材作为</w:t>
      </w:r>
      <w:proofErr w:type="gramEnd"/>
      <w:r>
        <w:rPr>
          <w:rFonts w:ascii="宋体" w:eastAsia="宋体" w:hAnsi="宋体" w:hint="eastAsia"/>
          <w:bCs/>
          <w:sz w:val="24"/>
          <w:szCs w:val="24"/>
        </w:rPr>
        <w:t>本项目的特定供应商提供产品、工程或服务。</w:t>
      </w:r>
    </w:p>
    <w:p w:rsidR="00053A3C" w:rsidRDefault="00780419">
      <w:pPr>
        <w:spacing w:line="440" w:lineRule="exact"/>
        <w:rPr>
          <w:rFonts w:ascii="宋体" w:eastAsia="宋体" w:hAnsi="宋体"/>
          <w:sz w:val="24"/>
          <w:szCs w:val="24"/>
        </w:rPr>
      </w:pPr>
      <w:r>
        <w:rPr>
          <w:rFonts w:ascii="宋体" w:eastAsia="宋体" w:hAnsi="宋体" w:hint="eastAsia"/>
          <w:b/>
          <w:sz w:val="24"/>
          <w:szCs w:val="24"/>
        </w:rPr>
        <w:t>公示起止时间：</w:t>
      </w:r>
      <w:r w:rsidR="00E003B6">
        <w:rPr>
          <w:rFonts w:ascii="宋体" w:eastAsia="宋体" w:hAnsi="宋体" w:hint="eastAsia"/>
          <w:b/>
          <w:sz w:val="24"/>
          <w:szCs w:val="24"/>
        </w:rPr>
        <w:t>2024年5月29日 至 2024年6月4日</w:t>
      </w:r>
    </w:p>
    <w:p w:rsidR="00053A3C" w:rsidRDefault="00780419">
      <w:pPr>
        <w:spacing w:line="440" w:lineRule="exact"/>
        <w:ind w:firstLineChars="200" w:firstLine="480"/>
        <w:rPr>
          <w:rFonts w:ascii="宋体" w:eastAsia="宋体" w:hAnsi="宋体"/>
          <w:sz w:val="24"/>
          <w:szCs w:val="24"/>
        </w:rPr>
      </w:pPr>
      <w:r>
        <w:rPr>
          <w:rFonts w:ascii="宋体" w:eastAsia="宋体" w:hAnsi="宋体" w:hint="eastAsia"/>
          <w:sz w:val="24"/>
          <w:szCs w:val="24"/>
        </w:rPr>
        <w:t>任何供应商、单位或个人对此单一来源采购方式有异议，可以在本公示期内将书面意见反馈给采购单位。</w:t>
      </w:r>
    </w:p>
    <w:p w:rsidR="00053A3C" w:rsidRDefault="00053A3C">
      <w:pPr>
        <w:spacing w:line="440" w:lineRule="exact"/>
        <w:ind w:firstLineChars="200" w:firstLine="480"/>
        <w:rPr>
          <w:rFonts w:ascii="宋体" w:eastAsia="宋体" w:hAnsi="宋体"/>
          <w:sz w:val="24"/>
          <w:szCs w:val="24"/>
        </w:rPr>
      </w:pPr>
    </w:p>
    <w:p w:rsidR="00053A3C" w:rsidRDefault="00780419">
      <w:pPr>
        <w:spacing w:line="440" w:lineRule="exact"/>
        <w:rPr>
          <w:rFonts w:ascii="宋体" w:eastAsia="宋体" w:hAnsi="宋体"/>
          <w:sz w:val="24"/>
          <w:szCs w:val="24"/>
        </w:rPr>
      </w:pPr>
      <w:r>
        <w:rPr>
          <w:rFonts w:ascii="宋体" w:eastAsia="宋体" w:hAnsi="宋体" w:hint="eastAsia"/>
          <w:sz w:val="24"/>
          <w:szCs w:val="24"/>
        </w:rPr>
        <w:t>采购单位：上海市工商外国语学校</w:t>
      </w:r>
    </w:p>
    <w:p w:rsidR="00053A3C" w:rsidRDefault="00780419">
      <w:pPr>
        <w:spacing w:line="440" w:lineRule="exact"/>
        <w:rPr>
          <w:rFonts w:ascii="宋体" w:eastAsia="宋体" w:hAnsi="宋体"/>
          <w:sz w:val="24"/>
          <w:szCs w:val="24"/>
        </w:rPr>
      </w:pPr>
      <w:r>
        <w:rPr>
          <w:rFonts w:ascii="宋体" w:eastAsia="宋体" w:hAnsi="宋体" w:hint="eastAsia"/>
          <w:sz w:val="24"/>
          <w:szCs w:val="24"/>
        </w:rPr>
        <w:t>地址：上海市百色支路</w:t>
      </w:r>
      <w:r>
        <w:rPr>
          <w:rFonts w:ascii="宋体" w:eastAsia="宋体" w:hAnsi="宋体" w:hint="eastAsia"/>
          <w:sz w:val="24"/>
          <w:szCs w:val="24"/>
        </w:rPr>
        <w:t>35</w:t>
      </w:r>
      <w:r>
        <w:rPr>
          <w:rFonts w:ascii="宋体" w:eastAsia="宋体" w:hAnsi="宋体" w:hint="eastAsia"/>
          <w:sz w:val="24"/>
          <w:szCs w:val="24"/>
        </w:rPr>
        <w:t>号</w:t>
      </w:r>
    </w:p>
    <w:p w:rsidR="00053A3C" w:rsidRDefault="00780419">
      <w:pPr>
        <w:spacing w:line="440" w:lineRule="exact"/>
        <w:rPr>
          <w:rFonts w:ascii="宋体" w:eastAsia="宋体" w:hAnsi="宋体"/>
          <w:sz w:val="24"/>
          <w:szCs w:val="24"/>
        </w:rPr>
      </w:pPr>
      <w:r>
        <w:rPr>
          <w:rFonts w:ascii="宋体" w:eastAsia="宋体" w:hAnsi="宋体"/>
          <w:sz w:val="24"/>
          <w:szCs w:val="24"/>
        </w:rPr>
        <w:t>联系人：</w:t>
      </w:r>
      <w:r>
        <w:rPr>
          <w:rFonts w:ascii="宋体" w:eastAsia="宋体" w:hAnsi="宋体" w:hint="eastAsia"/>
          <w:sz w:val="24"/>
          <w:szCs w:val="24"/>
        </w:rPr>
        <w:t>钱老师</w:t>
      </w:r>
    </w:p>
    <w:p w:rsidR="00053A3C" w:rsidRDefault="00780419">
      <w:pPr>
        <w:spacing w:line="440" w:lineRule="exact"/>
        <w:rPr>
          <w:rFonts w:ascii="宋体" w:eastAsia="宋体" w:hAnsi="宋体"/>
          <w:sz w:val="24"/>
          <w:szCs w:val="24"/>
        </w:rPr>
      </w:pPr>
      <w:r>
        <w:rPr>
          <w:rFonts w:ascii="宋体" w:eastAsia="宋体" w:hAnsi="宋体"/>
          <w:sz w:val="24"/>
          <w:szCs w:val="24"/>
        </w:rPr>
        <w:t>联系电话：</w:t>
      </w:r>
      <w:r>
        <w:rPr>
          <w:rFonts w:ascii="宋体" w:eastAsia="宋体" w:hAnsi="宋体" w:hint="eastAsia"/>
          <w:sz w:val="24"/>
          <w:szCs w:val="24"/>
        </w:rPr>
        <w:t>021</w:t>
      </w:r>
      <w:r>
        <w:rPr>
          <w:rFonts w:ascii="宋体" w:eastAsia="宋体" w:hAnsi="宋体" w:hint="eastAsia"/>
          <w:sz w:val="24"/>
          <w:szCs w:val="24"/>
        </w:rPr>
        <w:t>-64763038</w:t>
      </w:r>
    </w:p>
    <w:p w:rsidR="00053A3C" w:rsidRDefault="00053A3C">
      <w:pPr>
        <w:rPr>
          <w:rFonts w:ascii="仿宋" w:eastAsia="仿宋" w:hAnsi="仿宋" w:cs="Times New Roman"/>
          <w:bCs/>
          <w:color w:val="000000"/>
          <w:sz w:val="32"/>
          <w:szCs w:val="32"/>
        </w:rPr>
      </w:pPr>
    </w:p>
    <w:p w:rsidR="00053A3C" w:rsidRDefault="00053A3C">
      <w:pPr>
        <w:rPr>
          <w:rFonts w:ascii="仿宋" w:eastAsia="仿宋" w:hAnsi="仿宋" w:cs="Times New Roman"/>
          <w:bCs/>
          <w:color w:val="000000"/>
          <w:sz w:val="32"/>
          <w:szCs w:val="32"/>
        </w:rPr>
      </w:pPr>
    </w:p>
    <w:p w:rsidR="00053A3C" w:rsidRDefault="00053A3C">
      <w:pPr>
        <w:rPr>
          <w:rFonts w:ascii="仿宋" w:eastAsia="仿宋" w:hAnsi="仿宋" w:cs="Times New Roman"/>
          <w:bCs/>
          <w:color w:val="000000"/>
          <w:sz w:val="32"/>
          <w:szCs w:val="32"/>
        </w:rPr>
      </w:pPr>
    </w:p>
    <w:p w:rsidR="00053A3C" w:rsidRDefault="00053A3C">
      <w:pPr>
        <w:rPr>
          <w:rFonts w:ascii="仿宋" w:eastAsia="仿宋" w:hAnsi="仿宋" w:cs="Times New Roman"/>
          <w:bCs/>
          <w:color w:val="000000"/>
          <w:sz w:val="32"/>
          <w:szCs w:val="32"/>
        </w:rPr>
      </w:pPr>
    </w:p>
    <w:p w:rsidR="00053A3C" w:rsidRDefault="00053A3C"/>
    <w:sectPr w:rsidR="00053A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5A159A"/>
    <w:multiLevelType w:val="multilevel"/>
    <w:tmpl w:val="475A159A"/>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
    <w:nsid w:val="4BF54851"/>
    <w:multiLevelType w:val="multilevel"/>
    <w:tmpl w:val="4BF54851"/>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0YTk5NDc0ODRiNGIxMTI1NTY2N2MxNmMwYWVjYjQifQ=="/>
  </w:docVars>
  <w:rsids>
    <w:rsidRoot w:val="002E5F1E"/>
    <w:rsid w:val="0003161D"/>
    <w:rsid w:val="00053A3C"/>
    <w:rsid w:val="001838AC"/>
    <w:rsid w:val="001A0F6C"/>
    <w:rsid w:val="001E3BA4"/>
    <w:rsid w:val="0020245C"/>
    <w:rsid w:val="002039C4"/>
    <w:rsid w:val="00232B7C"/>
    <w:rsid w:val="002E5F1E"/>
    <w:rsid w:val="003A26C7"/>
    <w:rsid w:val="003B10D2"/>
    <w:rsid w:val="0048377D"/>
    <w:rsid w:val="0048542F"/>
    <w:rsid w:val="004E0B41"/>
    <w:rsid w:val="004F1000"/>
    <w:rsid w:val="0052252C"/>
    <w:rsid w:val="00571302"/>
    <w:rsid w:val="005D35D1"/>
    <w:rsid w:val="006F0242"/>
    <w:rsid w:val="00773C98"/>
    <w:rsid w:val="00780419"/>
    <w:rsid w:val="007F3C3A"/>
    <w:rsid w:val="00880441"/>
    <w:rsid w:val="00907E36"/>
    <w:rsid w:val="009B1AB0"/>
    <w:rsid w:val="00AD3D7F"/>
    <w:rsid w:val="00AE5064"/>
    <w:rsid w:val="00B91536"/>
    <w:rsid w:val="00D77176"/>
    <w:rsid w:val="00E003B6"/>
    <w:rsid w:val="00E211DE"/>
    <w:rsid w:val="00E46ABF"/>
    <w:rsid w:val="00F22B28"/>
    <w:rsid w:val="436F47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rPr>
      <w:sz w:val="18"/>
      <w:szCs w:val="18"/>
    </w:rPr>
  </w:style>
  <w:style w:type="paragraph" w:styleId="a6">
    <w:name w:val="List Paragraph"/>
    <w:basedOn w:val="a"/>
    <w:uiPriority w:val="99"/>
    <w:unhideWhenUsed/>
    <w:pPr>
      <w:spacing w:line="360" w:lineRule="auto"/>
      <w:ind w:firstLineChars="200" w:firstLine="420"/>
    </w:pPr>
    <w:rPr>
      <w:rFonts w:asciiTheme="majorEastAsia" w:eastAsia="宋体" w:hAnsiTheme="majorEastAsia" w:cstheme="majorEastAsia"/>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rPr>
      <w:sz w:val="18"/>
      <w:szCs w:val="18"/>
    </w:rPr>
  </w:style>
  <w:style w:type="paragraph" w:styleId="a6">
    <w:name w:val="List Paragraph"/>
    <w:basedOn w:val="a"/>
    <w:uiPriority w:val="99"/>
    <w:unhideWhenUsed/>
    <w:pPr>
      <w:spacing w:line="360" w:lineRule="auto"/>
      <w:ind w:firstLineChars="200" w:firstLine="420"/>
    </w:pPr>
    <w:rPr>
      <w:rFonts w:asciiTheme="majorEastAsia" w:eastAsia="宋体" w:hAnsiTheme="majorEastAsia" w:cstheme="majorEastAsia"/>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159</Words>
  <Characters>912</Characters>
  <Application>Microsoft Office Word</Application>
  <DocSecurity>0</DocSecurity>
  <Lines>7</Lines>
  <Paragraphs>2</Paragraphs>
  <ScaleCrop>false</ScaleCrop>
  <Company>Microsoft</Company>
  <LinksUpToDate>false</LinksUpToDate>
  <CharactersWithSpaces>1069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GSW</dc:creator>
  <cp:lastModifiedBy>QJL</cp:lastModifiedBy>
  <cp:revision>4</cp:revision>
  <dcterms:created xsi:type="dcterms:W3CDTF">2024-05-29T02:08:00Z</dcterms:created>
  <dcterms:modified xsi:type="dcterms:W3CDTF">2024-05-29T02:09:00Z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E1479BD89C0F43D89F93BB75726B0856_13</vt:lpwstr>
  </property>
</Properties>
</file>