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2026年在职教职工教职工慰问品及奖品采购项目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2026年在职教职工教职工慰问品及奖品采购项目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2026年在职教职工教职工慰问品及奖品采购项目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JSCS26040184-N26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预估52.49万元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cs="宋体"/>
          <w:sz w:val="21"/>
          <w:szCs w:val="21"/>
          <w:lang w:eastAsia="zh-CN"/>
        </w:rPr>
        <w:t>按照采购需求各对应时间节点供货。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2026年在职教职工教职工慰问品及奖品采购项目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年4月21日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年4月27日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JSCS26040184-N26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JSCS26040184-N26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  <w:bookmarkStart w:id="0" w:name="_GoBack"/>
      <w:bookmarkEnd w:id="0"/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9770A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1542</Words>
  <Characters>1813</Characters>
  <TotalTime>33</TotalTime>
  <ScaleCrop>false</ScaleCrop>
  <LinksUpToDate>false</LinksUpToDate>
  <CharactersWithSpaces>1925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2026-04-20T05:36:40Z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eyJoZGlkIjoiMzVmZjllZGIzYzAyODJjYjMyYWU1MjkxZjk2NzE4MTciLCJ1c2VySWQiOiI5OTQzODM2NTAifQ==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