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EE72A6">
      <w:pPr>
        <w:pStyle w:val="3"/>
        <w:spacing w:before="180" w:line="360" w:lineRule="auto"/>
        <w:jc w:val="center"/>
        <w:outlineLvl w:val="0"/>
        <w:rPr>
          <w:rFonts w:hint="eastAsia" w:ascii="宋体" w:hAnsi="宋体" w:eastAsia="宋体" w:cs="宋体"/>
          <w:sz w:val="21"/>
          <w:szCs w:val="21"/>
        </w:rPr>
      </w:pPr>
      <w:r>
        <w:rPr>
          <w:rFonts w:hint="eastAsia" w:cs="宋体"/>
          <w:b/>
          <w:bCs/>
          <w:spacing w:val="-4"/>
          <w:sz w:val="21"/>
          <w:szCs w:val="21"/>
          <w:lang w:eastAsia="zh-CN"/>
        </w:rPr>
        <w:t>数字化转型赋能教学诊改建设（三期）项目</w:t>
      </w:r>
      <w:r>
        <w:rPr>
          <w:rFonts w:hint="eastAsia" w:ascii="宋体" w:hAnsi="宋体" w:eastAsia="宋体" w:cs="宋体"/>
          <w:b/>
          <w:bCs/>
          <w:spacing w:val="-4"/>
          <w:sz w:val="21"/>
          <w:szCs w:val="21"/>
        </w:rPr>
        <w:t>竞争性磋商公告</w:t>
      </w:r>
    </w:p>
    <w:p w14:paraId="649A2A14">
      <w:pPr>
        <w:pStyle w:val="3"/>
        <w:spacing w:before="78" w:line="360" w:lineRule="auto"/>
        <w:ind w:left="22" w:right="99" w:firstLine="480"/>
        <w:jc w:val="both"/>
        <w:rPr>
          <w:rFonts w:hint="eastAsia" w:ascii="宋体" w:hAnsi="宋体" w:eastAsia="宋体" w:cs="宋体"/>
          <w:sz w:val="21"/>
          <w:szCs w:val="21"/>
        </w:rPr>
      </w:pPr>
      <w:r>
        <w:rPr>
          <w:rFonts w:hint="eastAsia" w:ascii="宋体" w:hAnsi="宋体" w:eastAsia="宋体" w:cs="宋体"/>
          <w:spacing w:val="-3"/>
          <w:sz w:val="21"/>
          <w:szCs w:val="21"/>
        </w:rPr>
        <w:t>根据《中华人民共和国政府采购法》及相关法律、法规之规定，</w:t>
      </w:r>
      <w:r>
        <w:rPr>
          <w:rFonts w:hint="eastAsia" w:ascii="宋体" w:hAnsi="宋体" w:eastAsia="宋体" w:cs="宋体"/>
          <w:spacing w:val="-4"/>
          <w:sz w:val="21"/>
          <w:szCs w:val="21"/>
          <w:lang w:eastAsia="zh-CN"/>
        </w:rPr>
        <w:t>上海健生教育配置招标有限公司</w:t>
      </w:r>
      <w:r>
        <w:rPr>
          <w:rFonts w:hint="eastAsia" w:ascii="宋体" w:hAnsi="宋体" w:eastAsia="宋体" w:cs="宋体"/>
          <w:sz w:val="21"/>
          <w:szCs w:val="21"/>
        </w:rPr>
        <w:t>受委托，对</w:t>
      </w:r>
      <w:r>
        <w:rPr>
          <w:rFonts w:hint="eastAsia" w:cs="宋体"/>
          <w:sz w:val="21"/>
          <w:szCs w:val="21"/>
          <w:lang w:eastAsia="zh-CN"/>
        </w:rPr>
        <w:t>数字化转型赋能教学诊改建设（三期）项目</w:t>
      </w:r>
      <w:r>
        <w:rPr>
          <w:rFonts w:hint="eastAsia" w:ascii="宋体" w:hAnsi="宋体" w:eastAsia="宋体" w:cs="宋体"/>
          <w:spacing w:val="-1"/>
          <w:sz w:val="21"/>
          <w:szCs w:val="21"/>
        </w:rPr>
        <w:t>进行竞争性磋商采购，特邀请合格的供应商参加磋商。</w:t>
      </w:r>
    </w:p>
    <w:p w14:paraId="3136E443">
      <w:pPr>
        <w:pStyle w:val="3"/>
        <w:spacing w:line="360" w:lineRule="auto"/>
        <w:ind w:left="507"/>
        <w:rPr>
          <w:rFonts w:hint="eastAsia" w:ascii="宋体" w:hAnsi="宋体" w:eastAsia="宋体" w:cs="宋体"/>
          <w:sz w:val="21"/>
          <w:szCs w:val="21"/>
        </w:rPr>
      </w:pPr>
      <w:r>
        <w:rPr>
          <w:rFonts w:hint="eastAsia" w:ascii="宋体" w:hAnsi="宋体" w:eastAsia="宋体" w:cs="宋体"/>
          <w:b/>
          <w:bCs/>
          <w:spacing w:val="-4"/>
          <w:sz w:val="21"/>
          <w:szCs w:val="21"/>
        </w:rPr>
        <w:t>一、项目概况</w:t>
      </w:r>
    </w:p>
    <w:p w14:paraId="1E6BFF8B">
      <w:pPr>
        <w:pStyle w:val="3"/>
        <w:spacing w:before="182" w:line="360" w:lineRule="auto"/>
        <w:ind w:left="521"/>
        <w:rPr>
          <w:rFonts w:hint="eastAsia" w:ascii="宋体" w:hAnsi="宋体" w:eastAsia="宋体" w:cs="宋体"/>
          <w:sz w:val="21"/>
          <w:szCs w:val="21"/>
          <w:lang w:eastAsia="zh-CN"/>
        </w:rPr>
      </w:pPr>
      <w:r>
        <w:rPr>
          <w:rFonts w:hint="eastAsia" w:ascii="宋体" w:hAnsi="宋体" w:eastAsia="宋体" w:cs="宋体"/>
          <w:spacing w:val="-1"/>
          <w:sz w:val="21"/>
          <w:szCs w:val="21"/>
        </w:rPr>
        <w:t>1.项目名称：</w:t>
      </w:r>
      <w:r>
        <w:rPr>
          <w:rFonts w:hint="eastAsia" w:cs="宋体"/>
          <w:spacing w:val="-1"/>
          <w:sz w:val="21"/>
          <w:szCs w:val="21"/>
          <w:lang w:eastAsia="zh-CN"/>
        </w:rPr>
        <w:t>数字化转型赋能教学诊改建设（三期）项目</w:t>
      </w:r>
    </w:p>
    <w:p w14:paraId="082F62B6">
      <w:pPr>
        <w:pStyle w:val="3"/>
        <w:spacing w:before="183" w:line="360" w:lineRule="auto"/>
        <w:ind w:left="506"/>
        <w:rPr>
          <w:rFonts w:hint="eastAsia" w:ascii="宋体" w:hAnsi="宋体" w:eastAsia="宋体" w:cs="宋体"/>
          <w:sz w:val="21"/>
          <w:szCs w:val="21"/>
          <w:highlight w:val="none"/>
          <w:lang w:eastAsia="zh-CN"/>
        </w:rPr>
      </w:pPr>
      <w:r>
        <w:rPr>
          <w:rFonts w:hint="eastAsia" w:ascii="宋体" w:hAnsi="宋体" w:eastAsia="宋体" w:cs="宋体"/>
          <w:spacing w:val="-1"/>
          <w:sz w:val="21"/>
          <w:szCs w:val="21"/>
        </w:rPr>
        <w:t>2.项目编号：</w:t>
      </w:r>
      <w:r>
        <w:rPr>
          <w:rFonts w:hint="eastAsia" w:cs="宋体"/>
          <w:spacing w:val="-1"/>
          <w:sz w:val="21"/>
          <w:szCs w:val="21"/>
          <w:lang w:eastAsia="zh-CN"/>
        </w:rPr>
        <w:t>JSCS26100924-N131</w:t>
      </w:r>
    </w:p>
    <w:p w14:paraId="6EC98629">
      <w:pPr>
        <w:pStyle w:val="3"/>
        <w:spacing w:before="78" w:line="360" w:lineRule="auto"/>
        <w:ind w:left="22" w:right="99" w:firstLine="48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3.预算金额：</w:t>
      </w:r>
      <w:r>
        <w:rPr>
          <w:rFonts w:hint="eastAsia" w:cs="宋体"/>
          <w:sz w:val="21"/>
          <w:szCs w:val="21"/>
          <w:highlight w:val="none"/>
          <w:lang w:val="en-US" w:eastAsia="zh-CN"/>
        </w:rPr>
        <w:t>30</w:t>
      </w:r>
      <w:r>
        <w:rPr>
          <w:rFonts w:hint="eastAsia" w:ascii="宋体" w:hAnsi="宋体" w:eastAsia="宋体" w:cs="宋体"/>
          <w:sz w:val="21"/>
          <w:szCs w:val="21"/>
          <w:highlight w:val="none"/>
          <w:lang w:val="en-US" w:eastAsia="zh-CN"/>
        </w:rPr>
        <w:t>万元</w:t>
      </w:r>
    </w:p>
    <w:p w14:paraId="7AB05379">
      <w:pPr>
        <w:pStyle w:val="3"/>
        <w:spacing w:before="78" w:line="360" w:lineRule="auto"/>
        <w:ind w:left="22" w:right="99" w:firstLine="480"/>
        <w:jc w:val="both"/>
        <w:rPr>
          <w:rFonts w:hint="default" w:ascii="宋体" w:hAnsi="宋体" w:eastAsia="宋体" w:cs="宋体"/>
          <w:sz w:val="21"/>
          <w:szCs w:val="21"/>
          <w:highlight w:val="none"/>
          <w:lang w:val="en-US"/>
        </w:rPr>
      </w:pPr>
      <w:r>
        <w:rPr>
          <w:rFonts w:hint="eastAsia" w:ascii="宋体" w:hAnsi="宋体" w:eastAsia="宋体" w:cs="宋体"/>
          <w:sz w:val="21"/>
          <w:szCs w:val="21"/>
          <w:highlight w:val="none"/>
        </w:rPr>
        <w:t>4.</w:t>
      </w:r>
      <w:r>
        <w:rPr>
          <w:rFonts w:hint="eastAsia" w:ascii="宋体" w:hAnsi="宋体" w:eastAsia="宋体" w:cs="宋体"/>
          <w:sz w:val="21"/>
          <w:szCs w:val="21"/>
        </w:rPr>
        <w:t>交付期：合同签订后30个日历天内交付，并通过校方验收合格率</w:t>
      </w:r>
      <w:r>
        <w:rPr>
          <w:rFonts w:hint="eastAsia" w:ascii="宋体" w:hAnsi="宋体" w:eastAsia="宋体" w:cs="宋体"/>
          <w:color w:val="000000"/>
          <w:sz w:val="21"/>
          <w:szCs w:val="21"/>
        </w:rPr>
        <w:t>，免费维护期：2年</w:t>
      </w:r>
      <w:r>
        <w:rPr>
          <w:rFonts w:hint="eastAsia" w:ascii="宋体" w:hAnsi="宋体" w:eastAsia="宋体" w:cs="宋体"/>
          <w:sz w:val="21"/>
          <w:szCs w:val="21"/>
        </w:rPr>
        <w:t>。</w:t>
      </w:r>
    </w:p>
    <w:p w14:paraId="1058C322">
      <w:pPr>
        <w:pStyle w:val="3"/>
        <w:spacing w:before="78" w:line="360" w:lineRule="auto"/>
        <w:ind w:left="22" w:right="99" w:firstLine="480"/>
        <w:jc w:val="both"/>
        <w:rPr>
          <w:rFonts w:hint="eastAsia" w:ascii="宋体" w:hAnsi="宋体" w:eastAsia="宋体" w:cs="宋体"/>
          <w:sz w:val="21"/>
          <w:szCs w:val="21"/>
        </w:rPr>
      </w:pPr>
      <w:r>
        <w:rPr>
          <w:rFonts w:hint="eastAsia" w:ascii="宋体" w:hAnsi="宋体" w:eastAsia="宋体" w:cs="宋体"/>
          <w:sz w:val="21"/>
          <w:szCs w:val="21"/>
        </w:rPr>
        <w:t>5.项目地址：上海市徐汇区百色支路 35 号</w:t>
      </w:r>
    </w:p>
    <w:p w14:paraId="4AEB1F49">
      <w:pPr>
        <w:pStyle w:val="3"/>
        <w:spacing w:before="78" w:line="360" w:lineRule="auto"/>
        <w:ind w:left="22" w:right="99" w:firstLine="480"/>
        <w:jc w:val="both"/>
        <w:rPr>
          <w:rFonts w:hint="eastAsia" w:ascii="宋体" w:hAnsi="宋体" w:eastAsia="宋体" w:cs="宋体"/>
          <w:sz w:val="21"/>
          <w:szCs w:val="21"/>
        </w:rPr>
      </w:pPr>
      <w:r>
        <w:rPr>
          <w:rFonts w:hint="eastAsia" w:ascii="宋体" w:hAnsi="宋体" w:eastAsia="宋体" w:cs="宋体"/>
          <w:sz w:val="21"/>
          <w:szCs w:val="21"/>
        </w:rPr>
        <w:t>6.项目概况：</w:t>
      </w:r>
    </w:p>
    <w:p w14:paraId="5952AB7B">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1、项目内容</w:t>
      </w:r>
    </w:p>
    <w:tbl>
      <w:tblPr>
        <w:tblStyle w:val="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2"/>
        <w:gridCol w:w="4278"/>
      </w:tblGrid>
      <w:tr w14:paraId="150BD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8" w:type="pct"/>
            <w:vAlign w:val="center"/>
          </w:tcPr>
          <w:p w14:paraId="48416240">
            <w:pPr>
              <w:jc w:val="center"/>
              <w:rPr>
                <w:rFonts w:hint="eastAsia" w:ascii="宋体" w:hAnsi="宋体" w:eastAsia="宋体" w:cs="宋体"/>
                <w:b/>
                <w:bCs/>
                <w:sz w:val="21"/>
                <w:szCs w:val="21"/>
              </w:rPr>
            </w:pPr>
            <w:r>
              <w:rPr>
                <w:rFonts w:hint="eastAsia" w:ascii="宋体" w:hAnsi="宋体" w:eastAsia="宋体" w:cs="宋体"/>
                <w:b/>
                <w:bCs/>
                <w:sz w:val="21"/>
                <w:szCs w:val="21"/>
              </w:rPr>
              <w:t>拓展功能</w:t>
            </w:r>
          </w:p>
        </w:tc>
        <w:tc>
          <w:tcPr>
            <w:tcW w:w="2501" w:type="pct"/>
            <w:vAlign w:val="center"/>
          </w:tcPr>
          <w:p w14:paraId="746DD967">
            <w:pPr>
              <w:jc w:val="center"/>
              <w:rPr>
                <w:rFonts w:hint="eastAsia" w:ascii="宋体" w:hAnsi="宋体" w:eastAsia="宋体" w:cs="宋体"/>
                <w:b/>
                <w:bCs/>
                <w:sz w:val="21"/>
                <w:szCs w:val="21"/>
              </w:rPr>
            </w:pPr>
            <w:r>
              <w:rPr>
                <w:rFonts w:hint="eastAsia" w:ascii="宋体" w:hAnsi="宋体" w:eastAsia="宋体" w:cs="宋体"/>
                <w:b/>
                <w:bCs/>
                <w:sz w:val="21"/>
                <w:szCs w:val="21"/>
              </w:rPr>
              <w:t>功能要求</w:t>
            </w:r>
          </w:p>
        </w:tc>
      </w:tr>
      <w:tr w14:paraId="5183E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8" w:type="pct"/>
            <w:vAlign w:val="center"/>
          </w:tcPr>
          <w:p w14:paraId="7AAE2D28">
            <w:pPr>
              <w:jc w:val="center"/>
              <w:rPr>
                <w:rFonts w:hint="eastAsia" w:ascii="宋体" w:hAnsi="宋体" w:eastAsia="宋体" w:cs="宋体"/>
                <w:sz w:val="21"/>
                <w:szCs w:val="21"/>
              </w:rPr>
            </w:pPr>
            <w:r>
              <w:rPr>
                <w:rFonts w:hint="eastAsia" w:ascii="宋体" w:hAnsi="宋体" w:eastAsia="宋体" w:cs="宋体"/>
                <w:sz w:val="21"/>
                <w:szCs w:val="21"/>
              </w:rPr>
              <w:t>数据补充归集（接口对接平台）</w:t>
            </w:r>
          </w:p>
        </w:tc>
        <w:tc>
          <w:tcPr>
            <w:tcW w:w="2501" w:type="pct"/>
            <w:vAlign w:val="center"/>
          </w:tcPr>
          <w:p w14:paraId="0C71CD13">
            <w:pPr>
              <w:rPr>
                <w:rFonts w:hint="eastAsia" w:ascii="宋体" w:hAnsi="宋体" w:eastAsia="宋体" w:cs="宋体"/>
                <w:sz w:val="21"/>
                <w:szCs w:val="21"/>
              </w:rPr>
            </w:pPr>
            <w:r>
              <w:rPr>
                <w:rFonts w:hint="eastAsia" w:ascii="宋体" w:hAnsi="宋体" w:eastAsia="宋体" w:cs="宋体"/>
                <w:sz w:val="21"/>
                <w:szCs w:val="21"/>
              </w:rPr>
              <w:t>面向学校新增业务系统建设标准化数据接口对接平台，完成人员、教学、科研、党务等业务数据的统一采集与同步，夯实数据底座。</w:t>
            </w:r>
          </w:p>
        </w:tc>
      </w:tr>
      <w:tr w14:paraId="1426C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8" w:type="pct"/>
            <w:vAlign w:val="center"/>
          </w:tcPr>
          <w:p w14:paraId="62ABF92B">
            <w:pPr>
              <w:jc w:val="center"/>
              <w:rPr>
                <w:rFonts w:hint="eastAsia" w:ascii="宋体" w:hAnsi="宋体" w:eastAsia="宋体" w:cs="宋体"/>
                <w:sz w:val="21"/>
                <w:szCs w:val="21"/>
              </w:rPr>
            </w:pPr>
            <w:r>
              <w:rPr>
                <w:rFonts w:hint="eastAsia" w:ascii="宋体" w:hAnsi="宋体" w:eastAsia="宋体" w:cs="宋体"/>
                <w:sz w:val="21"/>
                <w:szCs w:val="21"/>
              </w:rPr>
              <w:t>五层面诊改核心工作监测大屏建设</w:t>
            </w:r>
          </w:p>
        </w:tc>
        <w:tc>
          <w:tcPr>
            <w:tcW w:w="2501" w:type="pct"/>
            <w:vAlign w:val="center"/>
          </w:tcPr>
          <w:p w14:paraId="0DDD2A4F">
            <w:pPr>
              <w:rPr>
                <w:rFonts w:hint="eastAsia" w:ascii="宋体" w:hAnsi="宋体" w:eastAsia="宋体" w:cs="宋体"/>
                <w:sz w:val="21"/>
                <w:szCs w:val="21"/>
              </w:rPr>
            </w:pPr>
            <w:r>
              <w:rPr>
                <w:rFonts w:hint="eastAsia" w:ascii="宋体" w:hAnsi="宋体" w:eastAsia="宋体" w:cs="宋体"/>
                <w:sz w:val="21"/>
                <w:szCs w:val="21"/>
              </w:rPr>
              <w:t>面向校领导、教务处、系部主任、专业负责人四类核心用户，在五大层面各抽取 8—12 项核心指标，构建"1 张总览屏 + 5 张层面屏"的核心工作监测大屏体系，含核心指标智能抽取引擎、四色环形总览、层面大屏五大区块、多端适配轮播与诊改工作效能自评，让日常诊改工作"一屏可视、一屏可管、一屏可推"。</w:t>
            </w:r>
          </w:p>
        </w:tc>
      </w:tr>
      <w:tr w14:paraId="1EC3C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8" w:type="pct"/>
            <w:vAlign w:val="center"/>
          </w:tcPr>
          <w:p w14:paraId="0432F9D7">
            <w:pPr>
              <w:jc w:val="center"/>
              <w:rPr>
                <w:rFonts w:hint="eastAsia" w:ascii="宋体" w:hAnsi="宋体" w:eastAsia="宋体" w:cs="宋体"/>
                <w:sz w:val="21"/>
                <w:szCs w:val="21"/>
              </w:rPr>
            </w:pPr>
            <w:r>
              <w:rPr>
                <w:rFonts w:hint="eastAsia" w:ascii="宋体" w:hAnsi="宋体" w:eastAsia="宋体" w:cs="宋体"/>
                <w:sz w:val="21"/>
                <w:szCs w:val="21"/>
              </w:rPr>
              <w:t>"八字螺旋"方法论深度融入与改进闭环强化</w:t>
            </w:r>
          </w:p>
        </w:tc>
        <w:tc>
          <w:tcPr>
            <w:tcW w:w="2501" w:type="pct"/>
            <w:vAlign w:val="center"/>
          </w:tcPr>
          <w:p w14:paraId="6A8F7AE9">
            <w:pPr>
              <w:rPr>
                <w:rFonts w:hint="eastAsia" w:ascii="宋体" w:hAnsi="宋体" w:eastAsia="宋体" w:cs="宋体"/>
                <w:sz w:val="21"/>
                <w:szCs w:val="21"/>
              </w:rPr>
            </w:pPr>
            <w:r>
              <w:rPr>
                <w:rFonts w:hint="eastAsia" w:ascii="宋体" w:hAnsi="宋体" w:eastAsia="宋体" w:cs="宋体"/>
                <w:sz w:val="21"/>
                <w:szCs w:val="21"/>
              </w:rPr>
              <w:t>将"目标—标准—设计—组织—实施—诊断—激励—学习—改进"八字螺旋在平台侧完成核心环节落地，含八字螺旋环节建模、改进任务全生命周期管理（派发—认领—填报—留痕—验证—归档）、诊改制度文档联动；"激励""学习"两环节由学校线下机制落实，平台仅做状态留痕。</w:t>
            </w:r>
          </w:p>
        </w:tc>
      </w:tr>
      <w:tr w14:paraId="5A1CE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8" w:type="pct"/>
            <w:vAlign w:val="center"/>
          </w:tcPr>
          <w:p w14:paraId="10C8B008">
            <w:pPr>
              <w:jc w:val="center"/>
              <w:rPr>
                <w:rFonts w:hint="eastAsia" w:ascii="宋体" w:hAnsi="宋体" w:eastAsia="宋体" w:cs="宋体"/>
                <w:sz w:val="21"/>
                <w:szCs w:val="21"/>
              </w:rPr>
            </w:pPr>
            <w:r>
              <w:rPr>
                <w:rFonts w:hint="eastAsia" w:ascii="宋体" w:hAnsi="宋体" w:eastAsia="宋体" w:cs="宋体"/>
                <w:sz w:val="21"/>
                <w:szCs w:val="21"/>
              </w:rPr>
              <w:t>预警值智能动态优化</w:t>
            </w:r>
          </w:p>
        </w:tc>
        <w:tc>
          <w:tcPr>
            <w:tcW w:w="2501" w:type="pct"/>
            <w:vAlign w:val="center"/>
          </w:tcPr>
          <w:p w14:paraId="1545619B">
            <w:pPr>
              <w:rPr>
                <w:rFonts w:hint="eastAsia" w:ascii="宋体" w:hAnsi="宋体" w:eastAsia="宋体" w:cs="宋体"/>
                <w:sz w:val="21"/>
                <w:szCs w:val="21"/>
              </w:rPr>
            </w:pPr>
            <w:r>
              <w:rPr>
                <w:rFonts w:hint="eastAsia" w:ascii="宋体" w:hAnsi="宋体" w:eastAsia="宋体" w:cs="宋体"/>
                <w:sz w:val="21"/>
                <w:szCs w:val="21"/>
              </w:rPr>
              <w:t>实现 AI 辅助阈值建议、预警触发即推送针对性整改建议、预警处置状态追踪，形成"预警—整改"闭环。</w:t>
            </w:r>
          </w:p>
        </w:tc>
      </w:tr>
      <w:tr w14:paraId="4F002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8" w:type="pct"/>
            <w:vAlign w:val="center"/>
          </w:tcPr>
          <w:p w14:paraId="631F2087">
            <w:pPr>
              <w:jc w:val="center"/>
              <w:rPr>
                <w:rFonts w:hint="eastAsia" w:ascii="宋体" w:hAnsi="宋体" w:eastAsia="宋体" w:cs="宋体"/>
                <w:sz w:val="21"/>
                <w:szCs w:val="21"/>
              </w:rPr>
            </w:pPr>
            <w:r>
              <w:rPr>
                <w:rFonts w:hint="eastAsia" w:ascii="宋体" w:hAnsi="宋体" w:eastAsia="宋体" w:cs="宋体"/>
                <w:sz w:val="21"/>
                <w:szCs w:val="21"/>
              </w:rPr>
              <w:t>智能问答扩展</w:t>
            </w:r>
          </w:p>
        </w:tc>
        <w:tc>
          <w:tcPr>
            <w:tcW w:w="2501" w:type="pct"/>
            <w:vAlign w:val="center"/>
          </w:tcPr>
          <w:p w14:paraId="5A87A24C">
            <w:pPr>
              <w:rPr>
                <w:rFonts w:hint="eastAsia" w:ascii="宋体" w:hAnsi="宋体" w:eastAsia="宋体" w:cs="宋体"/>
                <w:sz w:val="21"/>
                <w:szCs w:val="21"/>
              </w:rPr>
            </w:pPr>
            <w:r>
              <w:rPr>
                <w:rFonts w:hint="eastAsia" w:ascii="宋体" w:hAnsi="宋体" w:eastAsia="宋体" w:cs="宋体"/>
                <w:sz w:val="21"/>
                <w:szCs w:val="21"/>
              </w:rPr>
              <w:t>扩充三期新功能操作指引与最新政策文件解读知识库，支持基于校内数据的自然语言查询。</w:t>
            </w:r>
          </w:p>
        </w:tc>
      </w:tr>
      <w:tr w14:paraId="5F4CC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98" w:type="pct"/>
            <w:vAlign w:val="center"/>
          </w:tcPr>
          <w:p w14:paraId="40B30828">
            <w:pPr>
              <w:jc w:val="center"/>
              <w:rPr>
                <w:rFonts w:hint="eastAsia" w:ascii="宋体" w:hAnsi="宋体" w:eastAsia="宋体" w:cs="宋体"/>
                <w:sz w:val="21"/>
                <w:szCs w:val="21"/>
              </w:rPr>
            </w:pPr>
            <w:r>
              <w:rPr>
                <w:rFonts w:hint="eastAsia" w:ascii="宋体" w:hAnsi="宋体" w:eastAsia="宋体" w:cs="宋体"/>
                <w:sz w:val="21"/>
                <w:szCs w:val="21"/>
              </w:rPr>
              <w:t>数据溯源与明细穿透查询</w:t>
            </w:r>
          </w:p>
        </w:tc>
        <w:tc>
          <w:tcPr>
            <w:tcW w:w="2501" w:type="pct"/>
            <w:vAlign w:val="center"/>
          </w:tcPr>
          <w:p w14:paraId="583B9F43">
            <w:pPr>
              <w:rPr>
                <w:rFonts w:hint="eastAsia" w:ascii="宋体" w:hAnsi="宋体" w:eastAsia="宋体" w:cs="宋体"/>
                <w:sz w:val="21"/>
                <w:szCs w:val="21"/>
              </w:rPr>
            </w:pPr>
            <w:r>
              <w:rPr>
                <w:rFonts w:hint="eastAsia" w:ascii="宋体" w:hAnsi="宋体" w:eastAsia="宋体" w:cs="宋体"/>
                <w:sz w:val="21"/>
                <w:szCs w:val="21"/>
              </w:rPr>
              <w:t>对学生数、教师数、毕业生数等重要指标建立"指标—数据源—口径—明细"映射，支持在指标数值处一键穿透跳转至数据源系统查看统计明细，实现口径透明、差异定位与数据质量倒逼闭环。</w:t>
            </w:r>
          </w:p>
        </w:tc>
      </w:tr>
    </w:tbl>
    <w:p w14:paraId="7608734A">
      <w:pPr>
        <w:spacing w:line="360" w:lineRule="auto"/>
        <w:rPr>
          <w:rFonts w:hint="eastAsia" w:ascii="宋体" w:hAnsi="宋体" w:eastAsia="宋体" w:cs="宋体"/>
          <w:b/>
          <w:bCs/>
          <w:sz w:val="21"/>
          <w:szCs w:val="21"/>
        </w:rPr>
      </w:pPr>
      <w:r>
        <w:rPr>
          <w:rFonts w:hint="eastAsia" w:ascii="宋体" w:hAnsi="宋体" w:eastAsia="宋体" w:cs="宋体"/>
          <w:b/>
          <w:bCs/>
          <w:sz w:val="21"/>
          <w:szCs w:val="21"/>
        </w:rPr>
        <w:t>2、项目要求</w:t>
      </w:r>
    </w:p>
    <w:p w14:paraId="74C0D721">
      <w:pPr>
        <w:spacing w:line="360" w:lineRule="auto"/>
        <w:ind w:left="210" w:leftChars="100"/>
        <w:rPr>
          <w:rFonts w:hint="eastAsia" w:ascii="宋体" w:hAnsi="宋体" w:eastAsia="宋体" w:cs="宋体"/>
          <w:sz w:val="21"/>
          <w:szCs w:val="21"/>
        </w:rPr>
      </w:pPr>
      <w:r>
        <w:rPr>
          <w:rFonts w:hint="eastAsia" w:ascii="宋体" w:hAnsi="宋体" w:eastAsia="宋体" w:cs="宋体"/>
          <w:sz w:val="21"/>
          <w:szCs w:val="21"/>
        </w:rPr>
        <w:t>2.1技术服务要求</w:t>
      </w:r>
    </w:p>
    <w:p w14:paraId="64A0DE81">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2.1.1技术指标要求</w:t>
      </w:r>
    </w:p>
    <w:tbl>
      <w:tblPr>
        <w:tblStyle w:val="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1"/>
        <w:gridCol w:w="1803"/>
        <w:gridCol w:w="4946"/>
      </w:tblGrid>
      <w:tr w14:paraId="7750F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pct"/>
            <w:vMerge w:val="restart"/>
            <w:vAlign w:val="center"/>
          </w:tcPr>
          <w:p w14:paraId="0AD6B8D8">
            <w:pPr>
              <w:jc w:val="center"/>
              <w:rPr>
                <w:rFonts w:hint="eastAsia" w:ascii="宋体" w:hAnsi="宋体" w:eastAsia="宋体" w:cs="宋体"/>
                <w:sz w:val="21"/>
                <w:szCs w:val="21"/>
              </w:rPr>
            </w:pPr>
            <w:r>
              <w:rPr>
                <w:rFonts w:hint="eastAsia" w:ascii="宋体" w:hAnsi="宋体" w:eastAsia="宋体" w:cs="宋体"/>
                <w:sz w:val="21"/>
                <w:szCs w:val="21"/>
              </w:rPr>
              <w:t>数据补充归集（接口对接平台）</w:t>
            </w:r>
          </w:p>
        </w:tc>
        <w:tc>
          <w:tcPr>
            <w:tcW w:w="1054" w:type="pct"/>
            <w:vAlign w:val="center"/>
          </w:tcPr>
          <w:p w14:paraId="0FFC0A5D">
            <w:pPr>
              <w:jc w:val="center"/>
              <w:rPr>
                <w:rFonts w:hint="eastAsia" w:ascii="宋体" w:hAnsi="宋体" w:eastAsia="宋体" w:cs="宋体"/>
                <w:sz w:val="21"/>
                <w:szCs w:val="21"/>
              </w:rPr>
            </w:pPr>
            <w:r>
              <w:rPr>
                <w:rFonts w:hint="eastAsia" w:ascii="宋体" w:hAnsi="宋体" w:eastAsia="宋体" w:cs="宋体"/>
                <w:sz w:val="21"/>
                <w:szCs w:val="21"/>
              </w:rPr>
              <w:t>接口注册与配置</w:t>
            </w:r>
          </w:p>
        </w:tc>
        <w:tc>
          <w:tcPr>
            <w:tcW w:w="2892" w:type="pct"/>
            <w:vAlign w:val="center"/>
          </w:tcPr>
          <w:p w14:paraId="39F9C383">
            <w:pPr>
              <w:rPr>
                <w:rFonts w:hint="eastAsia" w:ascii="宋体" w:hAnsi="宋体" w:eastAsia="宋体" w:cs="宋体"/>
                <w:sz w:val="21"/>
                <w:szCs w:val="21"/>
              </w:rPr>
            </w:pPr>
            <w:r>
              <w:rPr>
                <w:rFonts w:hint="eastAsia" w:ascii="宋体" w:hAnsi="宋体" w:eastAsia="宋体" w:cs="宋体"/>
                <w:sz w:val="21"/>
                <w:szCs w:val="21"/>
              </w:rPr>
              <w:t>支持 RESTful API 统一注册，登记项不少于接口名称、URL、请求方式（GET/POST/PUT/DELETE）、请求头、鉴权方式、超时与重试策略；支持请求参数与响应字段的标准化模板定义；支持同一接口多版本并存与切换；支持按业务域（人员/教学/科研/党务等）分类分组管理。</w:t>
            </w:r>
          </w:p>
        </w:tc>
      </w:tr>
      <w:tr w14:paraId="7D663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pct"/>
            <w:vMerge w:val="continue"/>
            <w:vAlign w:val="center"/>
          </w:tcPr>
          <w:p w14:paraId="4A780C73">
            <w:pPr>
              <w:jc w:val="center"/>
              <w:rPr>
                <w:rFonts w:hint="eastAsia" w:ascii="宋体" w:hAnsi="宋体" w:eastAsia="宋体" w:cs="宋体"/>
                <w:sz w:val="21"/>
                <w:szCs w:val="21"/>
              </w:rPr>
            </w:pPr>
          </w:p>
        </w:tc>
        <w:tc>
          <w:tcPr>
            <w:tcW w:w="1054" w:type="pct"/>
            <w:vAlign w:val="center"/>
          </w:tcPr>
          <w:p w14:paraId="15144B5C">
            <w:pPr>
              <w:jc w:val="center"/>
              <w:rPr>
                <w:rFonts w:hint="eastAsia" w:ascii="宋体" w:hAnsi="宋体" w:eastAsia="宋体" w:cs="宋体"/>
                <w:sz w:val="21"/>
                <w:szCs w:val="21"/>
              </w:rPr>
            </w:pPr>
            <w:r>
              <w:rPr>
                <w:rFonts w:hint="eastAsia" w:ascii="宋体" w:hAnsi="宋体" w:eastAsia="宋体" w:cs="宋体"/>
                <w:sz w:val="21"/>
                <w:szCs w:val="21"/>
              </w:rPr>
              <w:t>接口规模与限流</w:t>
            </w:r>
          </w:p>
        </w:tc>
        <w:tc>
          <w:tcPr>
            <w:tcW w:w="2892" w:type="pct"/>
            <w:vAlign w:val="center"/>
          </w:tcPr>
          <w:p w14:paraId="72CF7155">
            <w:pPr>
              <w:rPr>
                <w:rFonts w:hint="eastAsia" w:ascii="宋体" w:hAnsi="宋体" w:eastAsia="宋体" w:cs="宋体"/>
                <w:sz w:val="21"/>
                <w:szCs w:val="21"/>
              </w:rPr>
            </w:pPr>
            <w:r>
              <w:rPr>
                <w:rFonts w:hint="eastAsia" w:ascii="宋体" w:hAnsi="宋体" w:eastAsia="宋体" w:cs="宋体"/>
                <w:sz w:val="21"/>
                <w:szCs w:val="21"/>
              </w:rPr>
              <w:t>单期支持接入不少于 40 个第三方接口、不少于 4 类业务域；支持接口调用频次限制（限流）配置，单 IP 每分钟调用上限可配置（默认不低于 60 次）。</w:t>
            </w:r>
          </w:p>
        </w:tc>
      </w:tr>
      <w:tr w14:paraId="1288B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pct"/>
            <w:vMerge w:val="continue"/>
            <w:vAlign w:val="center"/>
          </w:tcPr>
          <w:p w14:paraId="0EAC6B81">
            <w:pPr>
              <w:jc w:val="center"/>
              <w:rPr>
                <w:rFonts w:hint="eastAsia" w:ascii="宋体" w:hAnsi="宋体" w:eastAsia="宋体" w:cs="宋体"/>
                <w:sz w:val="21"/>
                <w:szCs w:val="21"/>
              </w:rPr>
            </w:pPr>
          </w:p>
        </w:tc>
        <w:tc>
          <w:tcPr>
            <w:tcW w:w="1054" w:type="pct"/>
            <w:vAlign w:val="center"/>
          </w:tcPr>
          <w:p w14:paraId="24A0B0EB">
            <w:pPr>
              <w:jc w:val="center"/>
              <w:rPr>
                <w:rFonts w:hint="eastAsia" w:ascii="宋体" w:hAnsi="宋体" w:eastAsia="宋体" w:cs="宋体"/>
                <w:sz w:val="21"/>
                <w:szCs w:val="21"/>
              </w:rPr>
            </w:pPr>
            <w:r>
              <w:rPr>
                <w:rFonts w:hint="eastAsia" w:ascii="宋体" w:hAnsi="宋体" w:eastAsia="宋体" w:cs="宋体"/>
                <w:sz w:val="21"/>
                <w:szCs w:val="21"/>
              </w:rPr>
              <w:t>凭证安全</w:t>
            </w:r>
          </w:p>
        </w:tc>
        <w:tc>
          <w:tcPr>
            <w:tcW w:w="2892" w:type="pct"/>
            <w:vAlign w:val="center"/>
          </w:tcPr>
          <w:p w14:paraId="4A22C2F6">
            <w:pPr>
              <w:rPr>
                <w:rFonts w:hint="eastAsia" w:ascii="宋体" w:hAnsi="宋体" w:eastAsia="宋体" w:cs="宋体"/>
                <w:sz w:val="21"/>
                <w:szCs w:val="21"/>
              </w:rPr>
            </w:pPr>
            <w:r>
              <w:rPr>
                <w:rFonts w:hint="eastAsia" w:ascii="宋体" w:hAnsi="宋体" w:eastAsia="宋体" w:cs="宋体"/>
                <w:sz w:val="21"/>
                <w:szCs w:val="21"/>
              </w:rPr>
              <w:t>支持 AppId/AppKey（及 Token）认证；凭证采用 AES-256 或同等强度加密存储，密钥支持定期轮换（周期可配置，默认不超过 90 天）；支持 Token 过期前自动刷新，刷新连续失败达可配置次数（默认 3 次）触发管理员告警；支持开发/测试/生产多环境凭证隔离；凭证查看与使用按角色授权并全程留痕审计。</w:t>
            </w:r>
          </w:p>
        </w:tc>
      </w:tr>
      <w:tr w14:paraId="71750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pct"/>
            <w:vMerge w:val="continue"/>
            <w:vAlign w:val="center"/>
          </w:tcPr>
          <w:p w14:paraId="333BCFCA">
            <w:pPr>
              <w:jc w:val="center"/>
              <w:rPr>
                <w:rFonts w:hint="eastAsia" w:ascii="宋体" w:hAnsi="宋体" w:eastAsia="宋体" w:cs="宋体"/>
                <w:sz w:val="21"/>
                <w:szCs w:val="21"/>
              </w:rPr>
            </w:pPr>
          </w:p>
        </w:tc>
        <w:tc>
          <w:tcPr>
            <w:tcW w:w="1054" w:type="pct"/>
            <w:vAlign w:val="center"/>
          </w:tcPr>
          <w:p w14:paraId="0826D137">
            <w:pPr>
              <w:jc w:val="center"/>
              <w:rPr>
                <w:rFonts w:hint="eastAsia" w:ascii="宋体" w:hAnsi="宋体" w:eastAsia="宋体" w:cs="宋体"/>
                <w:sz w:val="21"/>
                <w:szCs w:val="21"/>
              </w:rPr>
            </w:pPr>
            <w:r>
              <w:rPr>
                <w:rFonts w:hint="eastAsia" w:ascii="宋体" w:hAnsi="宋体" w:eastAsia="宋体" w:cs="宋体"/>
                <w:sz w:val="21"/>
                <w:szCs w:val="21"/>
              </w:rPr>
              <w:t>日志与监控</w:t>
            </w:r>
          </w:p>
        </w:tc>
        <w:tc>
          <w:tcPr>
            <w:tcW w:w="2892" w:type="pct"/>
            <w:vAlign w:val="center"/>
          </w:tcPr>
          <w:p w14:paraId="3CB5EDE4">
            <w:pPr>
              <w:rPr>
                <w:rFonts w:hint="eastAsia" w:ascii="宋体" w:hAnsi="宋体" w:eastAsia="宋体" w:cs="宋体"/>
                <w:sz w:val="21"/>
                <w:szCs w:val="21"/>
              </w:rPr>
            </w:pPr>
            <w:r>
              <w:rPr>
                <w:rFonts w:hint="eastAsia" w:ascii="宋体" w:hAnsi="宋体" w:eastAsia="宋体" w:cs="宋体"/>
                <w:sz w:val="21"/>
                <w:szCs w:val="21"/>
              </w:rPr>
              <w:t>完整记录每次调用的请求时间、URL、参数、响应状态码、响应时间、响应内容摘要；成功日志保留不少于 30 天、失败日志保留不少于 180 天，历史日志自动压缩归档；支持按时间/接口/状态码/调用方多维检索；提供调用量、成功率、平均响应时间趋势可视化；失败率超阈值自动告警。</w:t>
            </w:r>
          </w:p>
        </w:tc>
      </w:tr>
      <w:tr w14:paraId="15BC4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pct"/>
            <w:vMerge w:val="continue"/>
            <w:vAlign w:val="center"/>
          </w:tcPr>
          <w:p w14:paraId="6D942ED9">
            <w:pPr>
              <w:jc w:val="center"/>
              <w:rPr>
                <w:rFonts w:hint="eastAsia" w:ascii="宋体" w:hAnsi="宋体" w:eastAsia="宋体" w:cs="宋体"/>
                <w:sz w:val="21"/>
                <w:szCs w:val="21"/>
              </w:rPr>
            </w:pPr>
          </w:p>
        </w:tc>
        <w:tc>
          <w:tcPr>
            <w:tcW w:w="1054" w:type="pct"/>
            <w:vAlign w:val="center"/>
          </w:tcPr>
          <w:p w14:paraId="4C0B3A02">
            <w:pPr>
              <w:jc w:val="center"/>
              <w:rPr>
                <w:rFonts w:hint="eastAsia" w:ascii="宋体" w:hAnsi="宋体" w:eastAsia="宋体" w:cs="宋体"/>
                <w:sz w:val="21"/>
                <w:szCs w:val="21"/>
              </w:rPr>
            </w:pPr>
            <w:r>
              <w:rPr>
                <w:rFonts w:hint="eastAsia" w:ascii="宋体" w:hAnsi="宋体" w:eastAsia="宋体" w:cs="宋体"/>
                <w:sz w:val="21"/>
                <w:szCs w:val="21"/>
              </w:rPr>
              <w:t>数据同步与落库</w:t>
            </w:r>
          </w:p>
        </w:tc>
        <w:tc>
          <w:tcPr>
            <w:tcW w:w="2892" w:type="pct"/>
            <w:vAlign w:val="center"/>
          </w:tcPr>
          <w:p w14:paraId="480440C3">
            <w:pPr>
              <w:rPr>
                <w:rFonts w:hint="eastAsia" w:ascii="宋体" w:hAnsi="宋体" w:eastAsia="宋体" w:cs="宋体"/>
                <w:sz w:val="21"/>
                <w:szCs w:val="21"/>
              </w:rPr>
            </w:pPr>
            <w:r>
              <w:rPr>
                <w:rFonts w:hint="eastAsia" w:ascii="宋体" w:hAnsi="宋体" w:eastAsia="宋体" w:cs="宋体"/>
                <w:sz w:val="21"/>
                <w:szCs w:val="21"/>
              </w:rPr>
              <w:t>支持定时（Cron 表达式）、增量、全量三种同步模式并可切换；提供同步任务执行监控（进度、状态、失败重跑）；落库兼容 MySQL/Oracle/PostgreSQL；对同步数据执行字段映射、去重、空值/格式/范围校验与一致性校验，保留数据版本快照，支持按任务 ID 追溯同步结果。</w:t>
            </w:r>
          </w:p>
        </w:tc>
      </w:tr>
      <w:tr w14:paraId="5E799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pct"/>
            <w:vMerge w:val="restart"/>
            <w:vAlign w:val="center"/>
          </w:tcPr>
          <w:p w14:paraId="20187484">
            <w:pPr>
              <w:jc w:val="center"/>
              <w:rPr>
                <w:rFonts w:hint="eastAsia" w:ascii="宋体" w:hAnsi="宋体" w:eastAsia="宋体" w:cs="宋体"/>
                <w:sz w:val="21"/>
                <w:szCs w:val="21"/>
              </w:rPr>
            </w:pPr>
            <w:r>
              <w:rPr>
                <w:rFonts w:hint="eastAsia" w:ascii="宋体" w:hAnsi="宋体" w:eastAsia="宋体" w:cs="宋体"/>
                <w:sz w:val="21"/>
                <w:szCs w:val="21"/>
              </w:rPr>
              <w:t>五层面诊改核心工作监测大屏建设</w:t>
            </w:r>
          </w:p>
        </w:tc>
        <w:tc>
          <w:tcPr>
            <w:tcW w:w="1054" w:type="pct"/>
            <w:vAlign w:val="center"/>
          </w:tcPr>
          <w:p w14:paraId="3FA9520A">
            <w:pPr>
              <w:jc w:val="center"/>
              <w:rPr>
                <w:rFonts w:hint="eastAsia" w:ascii="宋体" w:hAnsi="宋体" w:eastAsia="宋体" w:cs="宋体"/>
                <w:sz w:val="21"/>
                <w:szCs w:val="21"/>
              </w:rPr>
            </w:pPr>
            <w:r>
              <w:rPr>
                <w:rFonts w:hint="eastAsia" w:ascii="宋体" w:hAnsi="宋体" w:eastAsia="宋体" w:cs="宋体"/>
                <w:sz w:val="21"/>
                <w:szCs w:val="21"/>
              </w:rPr>
              <w:t>核心指标智能抽取引擎</w:t>
            </w:r>
          </w:p>
        </w:tc>
        <w:tc>
          <w:tcPr>
            <w:tcW w:w="2892" w:type="pct"/>
            <w:vAlign w:val="center"/>
          </w:tcPr>
          <w:p w14:paraId="47D57809">
            <w:pPr>
              <w:rPr>
                <w:rFonts w:hint="eastAsia" w:ascii="宋体" w:hAnsi="宋体" w:eastAsia="宋体" w:cs="宋体"/>
                <w:sz w:val="21"/>
                <w:szCs w:val="21"/>
              </w:rPr>
            </w:pPr>
            <w:r>
              <w:rPr>
                <w:rFonts w:hint="eastAsia" w:ascii="宋体" w:hAnsi="宋体" w:eastAsia="宋体" w:cs="宋体"/>
                <w:sz w:val="21"/>
                <w:szCs w:val="21"/>
              </w:rPr>
              <w:t>结合诊改制度文件、教育部复核要点、学校年度工作要点，为每一层面自动推荐核心指标候选集；每层面抽取 8—12 项核心指标；管理员可结合学校实际进行增删与权重调整，形成可版本化管理的"核心指标清单"（清单变更留痕，支持回溯历史版本）。</w:t>
            </w:r>
          </w:p>
        </w:tc>
      </w:tr>
      <w:tr w14:paraId="20331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pct"/>
            <w:vMerge w:val="continue"/>
            <w:vAlign w:val="center"/>
          </w:tcPr>
          <w:p w14:paraId="5837D588">
            <w:pPr>
              <w:jc w:val="center"/>
              <w:rPr>
                <w:rFonts w:hint="eastAsia" w:ascii="宋体" w:hAnsi="宋体" w:eastAsia="宋体" w:cs="宋体"/>
                <w:sz w:val="21"/>
                <w:szCs w:val="21"/>
              </w:rPr>
            </w:pPr>
          </w:p>
        </w:tc>
        <w:tc>
          <w:tcPr>
            <w:tcW w:w="1054" w:type="pct"/>
            <w:vAlign w:val="center"/>
          </w:tcPr>
          <w:p w14:paraId="1098E018">
            <w:pPr>
              <w:jc w:val="center"/>
              <w:rPr>
                <w:rFonts w:hint="eastAsia" w:ascii="宋体" w:hAnsi="宋体" w:eastAsia="宋体" w:cs="宋体"/>
                <w:sz w:val="21"/>
                <w:szCs w:val="21"/>
              </w:rPr>
            </w:pPr>
            <w:r>
              <w:rPr>
                <w:rFonts w:hint="eastAsia" w:ascii="宋体" w:hAnsi="宋体" w:eastAsia="宋体" w:cs="宋体"/>
                <w:sz w:val="21"/>
                <w:szCs w:val="21"/>
              </w:rPr>
              <w:t>校级总览大屏（1 张）</w:t>
            </w:r>
          </w:p>
        </w:tc>
        <w:tc>
          <w:tcPr>
            <w:tcW w:w="2892" w:type="pct"/>
            <w:vAlign w:val="center"/>
          </w:tcPr>
          <w:p w14:paraId="5B75807F">
            <w:pPr>
              <w:rPr>
                <w:rFonts w:hint="eastAsia" w:ascii="宋体" w:hAnsi="宋体" w:eastAsia="宋体" w:cs="宋体"/>
                <w:sz w:val="21"/>
                <w:szCs w:val="21"/>
              </w:rPr>
            </w:pPr>
            <w:r>
              <w:rPr>
                <w:rFonts w:hint="eastAsia" w:ascii="宋体" w:hAnsi="宋体" w:eastAsia="宋体" w:cs="宋体"/>
                <w:sz w:val="21"/>
                <w:szCs w:val="21"/>
              </w:rPr>
              <w:t>以"目标达成度、标准符合度、诊改推进度、改进闭环率"四色环形图为核心，联动展示五大层面核心指标当期完成度、预警数、待改进项数、已闭环项数；支持按学期/年度切换；点击环形分区可跳转至对应层面大屏。</w:t>
            </w:r>
          </w:p>
        </w:tc>
      </w:tr>
      <w:tr w14:paraId="6539B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pct"/>
            <w:vMerge w:val="continue"/>
            <w:vAlign w:val="center"/>
          </w:tcPr>
          <w:p w14:paraId="06810D8E">
            <w:pPr>
              <w:jc w:val="center"/>
              <w:rPr>
                <w:rFonts w:hint="eastAsia" w:ascii="宋体" w:hAnsi="宋体" w:eastAsia="宋体" w:cs="宋体"/>
                <w:sz w:val="21"/>
                <w:szCs w:val="21"/>
              </w:rPr>
            </w:pPr>
          </w:p>
        </w:tc>
        <w:tc>
          <w:tcPr>
            <w:tcW w:w="1054" w:type="pct"/>
            <w:vAlign w:val="center"/>
          </w:tcPr>
          <w:p w14:paraId="2A32FF38">
            <w:pPr>
              <w:jc w:val="center"/>
              <w:rPr>
                <w:rFonts w:hint="eastAsia" w:ascii="宋体" w:hAnsi="宋体" w:eastAsia="宋体" w:cs="宋体"/>
                <w:sz w:val="21"/>
                <w:szCs w:val="21"/>
              </w:rPr>
            </w:pPr>
            <w:r>
              <w:rPr>
                <w:rFonts w:hint="eastAsia" w:ascii="宋体" w:hAnsi="宋体" w:eastAsia="宋体" w:cs="宋体"/>
                <w:sz w:val="21"/>
                <w:szCs w:val="21"/>
              </w:rPr>
              <w:t>层面核心大屏（5 张）</w:t>
            </w:r>
          </w:p>
        </w:tc>
        <w:tc>
          <w:tcPr>
            <w:tcW w:w="2892" w:type="pct"/>
            <w:vAlign w:val="center"/>
          </w:tcPr>
          <w:p w14:paraId="2FA39355">
            <w:pPr>
              <w:rPr>
                <w:rFonts w:hint="eastAsia" w:ascii="宋体" w:hAnsi="宋体" w:eastAsia="宋体" w:cs="宋体"/>
                <w:sz w:val="21"/>
                <w:szCs w:val="21"/>
              </w:rPr>
            </w:pPr>
            <w:r>
              <w:rPr>
                <w:rFonts w:hint="eastAsia" w:ascii="宋体" w:hAnsi="宋体" w:eastAsia="宋体" w:cs="宋体"/>
                <w:sz w:val="21"/>
                <w:szCs w:val="21"/>
              </w:rPr>
              <w:t>每层面大屏包含"核心指标看板 + 目标 vs 实际趋势图 + 预警与问题清单 + 八字螺旋环节进度条 + 一键钻取"五大区块；钻取可下探至具体指标的历史曲线、责任部门、佐证材料与改进任务。</w:t>
            </w:r>
          </w:p>
        </w:tc>
      </w:tr>
      <w:tr w14:paraId="79288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pct"/>
            <w:vMerge w:val="continue"/>
            <w:vAlign w:val="center"/>
          </w:tcPr>
          <w:p w14:paraId="3854602B">
            <w:pPr>
              <w:jc w:val="center"/>
              <w:rPr>
                <w:rFonts w:hint="eastAsia" w:ascii="宋体" w:hAnsi="宋体" w:eastAsia="宋体" w:cs="宋体"/>
                <w:sz w:val="21"/>
                <w:szCs w:val="21"/>
              </w:rPr>
            </w:pPr>
          </w:p>
        </w:tc>
        <w:tc>
          <w:tcPr>
            <w:tcW w:w="1054" w:type="pct"/>
            <w:vAlign w:val="center"/>
          </w:tcPr>
          <w:p w14:paraId="4EA5F6B5">
            <w:pPr>
              <w:jc w:val="center"/>
              <w:rPr>
                <w:rFonts w:hint="eastAsia" w:ascii="宋体" w:hAnsi="宋体" w:eastAsia="宋体" w:cs="宋体"/>
                <w:sz w:val="21"/>
                <w:szCs w:val="21"/>
              </w:rPr>
            </w:pPr>
            <w:r>
              <w:rPr>
                <w:rFonts w:hint="eastAsia" w:ascii="宋体" w:hAnsi="宋体" w:eastAsia="宋体" w:cs="宋体"/>
                <w:sz w:val="21"/>
                <w:szCs w:val="21"/>
              </w:rPr>
              <w:t>多端适配与轮播</w:t>
            </w:r>
          </w:p>
        </w:tc>
        <w:tc>
          <w:tcPr>
            <w:tcW w:w="2892" w:type="pct"/>
            <w:vAlign w:val="center"/>
          </w:tcPr>
          <w:p w14:paraId="7DF936B9">
            <w:pPr>
              <w:rPr>
                <w:rFonts w:hint="eastAsia" w:ascii="宋体" w:hAnsi="宋体" w:eastAsia="宋体" w:cs="宋体"/>
                <w:sz w:val="21"/>
                <w:szCs w:val="21"/>
              </w:rPr>
            </w:pPr>
            <w:r>
              <w:rPr>
                <w:rFonts w:hint="eastAsia" w:ascii="宋体" w:hAnsi="宋体" w:eastAsia="宋体" w:cs="宋体"/>
                <w:sz w:val="21"/>
                <w:szCs w:val="21"/>
              </w:rPr>
              <w:t>支持 PC 端、会议室大屏等多端自适应；可配置为校长办公室/教务处常态轮播屏，轮播内容与频率可配置。</w:t>
            </w:r>
          </w:p>
        </w:tc>
      </w:tr>
      <w:tr w14:paraId="57328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pct"/>
            <w:vMerge w:val="restart"/>
            <w:vAlign w:val="center"/>
          </w:tcPr>
          <w:p w14:paraId="79F444A4">
            <w:pPr>
              <w:jc w:val="center"/>
              <w:rPr>
                <w:rFonts w:hint="eastAsia" w:ascii="宋体" w:hAnsi="宋体" w:eastAsia="宋体" w:cs="宋体"/>
                <w:sz w:val="21"/>
                <w:szCs w:val="21"/>
              </w:rPr>
            </w:pPr>
            <w:r>
              <w:rPr>
                <w:rFonts w:hint="eastAsia" w:ascii="宋体" w:hAnsi="宋体" w:eastAsia="宋体" w:cs="宋体"/>
                <w:sz w:val="21"/>
                <w:szCs w:val="21"/>
              </w:rPr>
              <w:t>"八字螺旋"方法论深度融入与改进闭环强化</w:t>
            </w:r>
          </w:p>
        </w:tc>
        <w:tc>
          <w:tcPr>
            <w:tcW w:w="1054" w:type="pct"/>
            <w:vAlign w:val="center"/>
          </w:tcPr>
          <w:p w14:paraId="767F55A9">
            <w:pPr>
              <w:jc w:val="center"/>
              <w:rPr>
                <w:rFonts w:hint="eastAsia" w:ascii="宋体" w:hAnsi="宋体" w:eastAsia="宋体" w:cs="宋体"/>
                <w:sz w:val="21"/>
                <w:szCs w:val="21"/>
              </w:rPr>
            </w:pPr>
            <w:r>
              <w:rPr>
                <w:rFonts w:hint="eastAsia" w:ascii="宋体" w:hAnsi="宋体" w:eastAsia="宋体" w:cs="宋体"/>
                <w:sz w:val="21"/>
                <w:szCs w:val="21"/>
              </w:rPr>
              <w:t>八字螺旋环节建模</w:t>
            </w:r>
          </w:p>
        </w:tc>
        <w:tc>
          <w:tcPr>
            <w:tcW w:w="2892" w:type="pct"/>
            <w:vAlign w:val="center"/>
          </w:tcPr>
          <w:p w14:paraId="0DFE7757">
            <w:pPr>
              <w:rPr>
                <w:rFonts w:hint="eastAsia" w:ascii="宋体" w:hAnsi="宋体" w:eastAsia="宋体" w:cs="宋体"/>
                <w:sz w:val="21"/>
                <w:szCs w:val="21"/>
              </w:rPr>
            </w:pPr>
            <w:r>
              <w:rPr>
                <w:rFonts w:hint="eastAsia" w:ascii="宋体" w:hAnsi="宋体" w:eastAsia="宋体" w:cs="宋体"/>
                <w:sz w:val="21"/>
                <w:szCs w:val="21"/>
              </w:rPr>
              <w:t>为每一项核心指标、每一次预警、每一个问题配置完整的八字螺旋环节属性（目标是什么、标准在哪里、如何设计、谁来组织、怎样实施、如何诊断、如何激励、如何学习、怎样改进）；其中"激励"与"学习"环节仅做状态标记（未开始/进行中/已完成）与附件上传，具体执行走学校线下机制。</w:t>
            </w:r>
          </w:p>
        </w:tc>
      </w:tr>
      <w:tr w14:paraId="7A550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pct"/>
            <w:vMerge w:val="continue"/>
            <w:vAlign w:val="center"/>
          </w:tcPr>
          <w:p w14:paraId="0E5CF74B">
            <w:pPr>
              <w:jc w:val="center"/>
              <w:rPr>
                <w:rFonts w:hint="eastAsia" w:ascii="宋体" w:hAnsi="宋体" w:eastAsia="宋体" w:cs="宋体"/>
                <w:sz w:val="21"/>
                <w:szCs w:val="21"/>
              </w:rPr>
            </w:pPr>
          </w:p>
        </w:tc>
        <w:tc>
          <w:tcPr>
            <w:tcW w:w="1054" w:type="pct"/>
            <w:vAlign w:val="center"/>
          </w:tcPr>
          <w:p w14:paraId="03F3DAB2">
            <w:pPr>
              <w:jc w:val="center"/>
              <w:rPr>
                <w:rFonts w:hint="eastAsia" w:ascii="宋体" w:hAnsi="宋体" w:eastAsia="宋体" w:cs="宋体"/>
                <w:sz w:val="21"/>
                <w:szCs w:val="21"/>
              </w:rPr>
            </w:pPr>
            <w:r>
              <w:rPr>
                <w:rFonts w:hint="eastAsia" w:ascii="宋体" w:hAnsi="宋体" w:eastAsia="宋体" w:cs="宋体"/>
                <w:sz w:val="21"/>
                <w:szCs w:val="21"/>
              </w:rPr>
              <w:t>改进任务全生命周期管理</w:t>
            </w:r>
          </w:p>
        </w:tc>
        <w:tc>
          <w:tcPr>
            <w:tcW w:w="2892" w:type="pct"/>
            <w:vAlign w:val="center"/>
          </w:tcPr>
          <w:p w14:paraId="740A492C">
            <w:pPr>
              <w:rPr>
                <w:rFonts w:hint="eastAsia" w:ascii="宋体" w:hAnsi="宋体" w:eastAsia="宋体" w:cs="宋体"/>
                <w:sz w:val="21"/>
                <w:szCs w:val="21"/>
              </w:rPr>
            </w:pPr>
            <w:r>
              <w:rPr>
                <w:rFonts w:hint="eastAsia" w:ascii="宋体" w:hAnsi="宋体" w:eastAsia="宋体" w:cs="宋体"/>
                <w:sz w:val="21"/>
                <w:szCs w:val="21"/>
              </w:rPr>
              <w:t>从预警/问题触发的改进任务开始，覆盖"任务派发—责任认领—措施填报—过程留痕—成效验证—复盘归档"六个环节；任务状态实时同步至五层面核心大屏；支持任务超期提醒与责任人/部门维度统计。</w:t>
            </w:r>
          </w:p>
        </w:tc>
      </w:tr>
      <w:tr w14:paraId="42F1A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pct"/>
            <w:vMerge w:val="continue"/>
            <w:vAlign w:val="center"/>
          </w:tcPr>
          <w:p w14:paraId="23F2A1DD">
            <w:pPr>
              <w:jc w:val="center"/>
              <w:rPr>
                <w:rFonts w:hint="eastAsia" w:ascii="宋体" w:hAnsi="宋体" w:eastAsia="宋体" w:cs="宋体"/>
                <w:sz w:val="21"/>
                <w:szCs w:val="21"/>
              </w:rPr>
            </w:pPr>
          </w:p>
        </w:tc>
        <w:tc>
          <w:tcPr>
            <w:tcW w:w="1054" w:type="pct"/>
            <w:vAlign w:val="center"/>
          </w:tcPr>
          <w:p w14:paraId="185D219E">
            <w:pPr>
              <w:jc w:val="center"/>
              <w:rPr>
                <w:rFonts w:hint="eastAsia" w:ascii="宋体" w:hAnsi="宋体" w:eastAsia="宋体" w:cs="宋体"/>
                <w:sz w:val="21"/>
                <w:szCs w:val="21"/>
              </w:rPr>
            </w:pPr>
            <w:r>
              <w:rPr>
                <w:rFonts w:hint="eastAsia" w:ascii="宋体" w:hAnsi="宋体" w:eastAsia="宋体" w:cs="宋体"/>
                <w:sz w:val="21"/>
                <w:szCs w:val="21"/>
              </w:rPr>
              <w:t>诊改制度文档联动</w:t>
            </w:r>
          </w:p>
        </w:tc>
        <w:tc>
          <w:tcPr>
            <w:tcW w:w="2892" w:type="pct"/>
            <w:vAlign w:val="center"/>
          </w:tcPr>
          <w:p w14:paraId="10752F65">
            <w:pPr>
              <w:rPr>
                <w:rFonts w:hint="eastAsia" w:ascii="宋体" w:hAnsi="宋体" w:eastAsia="宋体" w:cs="宋体"/>
                <w:sz w:val="21"/>
                <w:szCs w:val="21"/>
              </w:rPr>
            </w:pPr>
            <w:r>
              <w:rPr>
                <w:rFonts w:hint="eastAsia" w:ascii="宋体" w:hAnsi="宋体" w:eastAsia="宋体" w:cs="宋体"/>
                <w:sz w:val="21"/>
                <w:szCs w:val="21"/>
              </w:rPr>
              <w:t>将学校诊改制度文件、操作规程与平台功能深度绑定，用户在每个螺旋环节都能一键调阅对应制度条款，做到"操作即合规、动作即留痕"。</w:t>
            </w:r>
          </w:p>
        </w:tc>
      </w:tr>
      <w:tr w14:paraId="5FF60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pct"/>
            <w:vMerge w:val="restart"/>
            <w:vAlign w:val="center"/>
          </w:tcPr>
          <w:p w14:paraId="1C47B38D">
            <w:pPr>
              <w:jc w:val="center"/>
              <w:rPr>
                <w:rFonts w:hint="eastAsia" w:ascii="宋体" w:hAnsi="宋体" w:eastAsia="宋体" w:cs="宋体"/>
                <w:sz w:val="21"/>
                <w:szCs w:val="21"/>
              </w:rPr>
            </w:pPr>
            <w:r>
              <w:rPr>
                <w:rFonts w:hint="eastAsia" w:ascii="宋体" w:hAnsi="宋体" w:eastAsia="宋体" w:cs="宋体"/>
                <w:sz w:val="21"/>
                <w:szCs w:val="21"/>
              </w:rPr>
              <w:t>预警值智能动态优化</w:t>
            </w:r>
          </w:p>
        </w:tc>
        <w:tc>
          <w:tcPr>
            <w:tcW w:w="1054" w:type="pct"/>
            <w:vAlign w:val="center"/>
          </w:tcPr>
          <w:p w14:paraId="6732E91B">
            <w:pPr>
              <w:jc w:val="center"/>
              <w:rPr>
                <w:rFonts w:hint="eastAsia" w:ascii="宋体" w:hAnsi="宋体" w:eastAsia="宋体" w:cs="宋体"/>
                <w:sz w:val="21"/>
                <w:szCs w:val="21"/>
              </w:rPr>
            </w:pPr>
            <w:r>
              <w:rPr>
                <w:rFonts w:hint="eastAsia" w:ascii="宋体" w:hAnsi="宋体" w:eastAsia="宋体" w:cs="宋体"/>
                <w:sz w:val="21"/>
                <w:szCs w:val="21"/>
              </w:rPr>
              <w:t>AI 辅助阈值建议</w:t>
            </w:r>
          </w:p>
        </w:tc>
        <w:tc>
          <w:tcPr>
            <w:tcW w:w="2892" w:type="pct"/>
            <w:vAlign w:val="center"/>
          </w:tcPr>
          <w:p w14:paraId="2BD844F9">
            <w:pPr>
              <w:rPr>
                <w:rFonts w:hint="eastAsia" w:ascii="宋体" w:hAnsi="宋体" w:eastAsia="宋体" w:cs="宋体"/>
                <w:sz w:val="21"/>
                <w:szCs w:val="21"/>
              </w:rPr>
            </w:pPr>
            <w:r>
              <w:rPr>
                <w:rFonts w:hint="eastAsia" w:ascii="宋体" w:hAnsi="宋体" w:eastAsia="宋体" w:cs="宋体"/>
                <w:sz w:val="21"/>
                <w:szCs w:val="21"/>
              </w:rPr>
              <w:t>基于本校不少于 3 年历史数据分布（如均值±标准差、分位数 P10/P90 等统计方法），结合同类院校基准，自动推荐预警阈值区间，并展示建议依据（历史趋势图 + 同类基准对比图）；管理员可一键采纳、部分采纳或手动调整，采纳/调整记录留痕。</w:t>
            </w:r>
          </w:p>
        </w:tc>
      </w:tr>
      <w:tr w14:paraId="5821A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pct"/>
            <w:vMerge w:val="continue"/>
            <w:vAlign w:val="center"/>
          </w:tcPr>
          <w:p w14:paraId="5B229E89">
            <w:pPr>
              <w:jc w:val="center"/>
              <w:rPr>
                <w:rFonts w:hint="eastAsia" w:ascii="宋体" w:hAnsi="宋体" w:eastAsia="宋体" w:cs="宋体"/>
                <w:sz w:val="21"/>
                <w:szCs w:val="21"/>
              </w:rPr>
            </w:pPr>
          </w:p>
        </w:tc>
        <w:tc>
          <w:tcPr>
            <w:tcW w:w="1054" w:type="pct"/>
            <w:vAlign w:val="center"/>
          </w:tcPr>
          <w:p w14:paraId="0C1DE878">
            <w:pPr>
              <w:jc w:val="center"/>
              <w:rPr>
                <w:rFonts w:hint="eastAsia" w:ascii="宋体" w:hAnsi="宋体" w:eastAsia="宋体" w:cs="宋体"/>
                <w:sz w:val="21"/>
                <w:szCs w:val="21"/>
              </w:rPr>
            </w:pPr>
            <w:r>
              <w:rPr>
                <w:rFonts w:hint="eastAsia" w:ascii="宋体" w:hAnsi="宋体" w:eastAsia="宋体" w:cs="宋体"/>
                <w:sz w:val="21"/>
                <w:szCs w:val="21"/>
              </w:rPr>
              <w:t>预警规则与分级</w:t>
            </w:r>
          </w:p>
        </w:tc>
        <w:tc>
          <w:tcPr>
            <w:tcW w:w="2892" w:type="pct"/>
            <w:vAlign w:val="center"/>
          </w:tcPr>
          <w:p w14:paraId="6316E7B3">
            <w:pPr>
              <w:rPr>
                <w:rFonts w:hint="eastAsia" w:ascii="宋体" w:hAnsi="宋体" w:eastAsia="宋体" w:cs="宋体"/>
                <w:sz w:val="21"/>
                <w:szCs w:val="21"/>
              </w:rPr>
            </w:pPr>
            <w:r>
              <w:rPr>
                <w:rFonts w:hint="eastAsia" w:ascii="宋体" w:hAnsi="宋体" w:eastAsia="宋体" w:cs="宋体"/>
                <w:sz w:val="21"/>
                <w:szCs w:val="21"/>
              </w:rPr>
              <w:t>预警规则支持判断条件（=、&gt;、≥、&lt;、≤、区间、连续 N 期越界）与风险等级（不少于 3 级，如提示/警告/严重）在线配置；支持按指标、层面、部门分别配置；规则可启停、可设执行周期。</w:t>
            </w:r>
          </w:p>
        </w:tc>
      </w:tr>
      <w:tr w14:paraId="76328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pct"/>
            <w:vMerge w:val="continue"/>
            <w:vAlign w:val="center"/>
          </w:tcPr>
          <w:p w14:paraId="0BAF9C24">
            <w:pPr>
              <w:jc w:val="center"/>
              <w:rPr>
                <w:rFonts w:hint="eastAsia" w:ascii="宋体" w:hAnsi="宋体" w:eastAsia="宋体" w:cs="宋体"/>
                <w:sz w:val="21"/>
                <w:szCs w:val="21"/>
              </w:rPr>
            </w:pPr>
          </w:p>
        </w:tc>
        <w:tc>
          <w:tcPr>
            <w:tcW w:w="1054" w:type="pct"/>
            <w:vAlign w:val="center"/>
          </w:tcPr>
          <w:p w14:paraId="6DECF73D">
            <w:pPr>
              <w:jc w:val="center"/>
              <w:rPr>
                <w:rFonts w:hint="eastAsia" w:ascii="宋体" w:hAnsi="宋体" w:eastAsia="宋体" w:cs="宋体"/>
                <w:sz w:val="21"/>
                <w:szCs w:val="21"/>
              </w:rPr>
            </w:pPr>
            <w:r>
              <w:rPr>
                <w:rFonts w:hint="eastAsia" w:ascii="宋体" w:hAnsi="宋体" w:eastAsia="宋体" w:cs="宋体"/>
                <w:sz w:val="21"/>
                <w:szCs w:val="21"/>
              </w:rPr>
              <w:t>预警触发与整改建议推送</w:t>
            </w:r>
          </w:p>
        </w:tc>
        <w:tc>
          <w:tcPr>
            <w:tcW w:w="2892" w:type="pct"/>
            <w:vAlign w:val="center"/>
          </w:tcPr>
          <w:p w14:paraId="73525C93">
            <w:pPr>
              <w:rPr>
                <w:rFonts w:hint="eastAsia" w:ascii="宋体" w:hAnsi="宋体" w:eastAsia="宋体" w:cs="宋体"/>
                <w:sz w:val="21"/>
                <w:szCs w:val="21"/>
              </w:rPr>
            </w:pPr>
            <w:r>
              <w:rPr>
                <w:rFonts w:hint="eastAsia" w:ascii="宋体" w:hAnsi="宋体" w:eastAsia="宋体" w:cs="宋体"/>
                <w:sz w:val="21"/>
                <w:szCs w:val="21"/>
              </w:rPr>
              <w:t>指标触发预警时自动生成针对性整改建议文本并推送至责任人（站内消息，预留短信/企业微信等通道）；建议内容包含触发指标、当前值、阈值、连续越界期数与建议措施。</w:t>
            </w:r>
          </w:p>
        </w:tc>
      </w:tr>
      <w:tr w14:paraId="39A75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pct"/>
            <w:vMerge w:val="continue"/>
            <w:vAlign w:val="center"/>
          </w:tcPr>
          <w:p w14:paraId="4D19F82C">
            <w:pPr>
              <w:jc w:val="center"/>
              <w:rPr>
                <w:rFonts w:hint="eastAsia" w:ascii="宋体" w:hAnsi="宋体" w:eastAsia="宋体" w:cs="宋体"/>
                <w:sz w:val="21"/>
                <w:szCs w:val="21"/>
              </w:rPr>
            </w:pPr>
          </w:p>
        </w:tc>
        <w:tc>
          <w:tcPr>
            <w:tcW w:w="1054" w:type="pct"/>
            <w:vAlign w:val="center"/>
          </w:tcPr>
          <w:p w14:paraId="0E7EB47F">
            <w:pPr>
              <w:jc w:val="center"/>
              <w:rPr>
                <w:rFonts w:hint="eastAsia" w:ascii="宋体" w:hAnsi="宋体" w:eastAsia="宋体" w:cs="宋体"/>
                <w:sz w:val="21"/>
                <w:szCs w:val="21"/>
              </w:rPr>
            </w:pPr>
            <w:r>
              <w:rPr>
                <w:rFonts w:hint="eastAsia" w:ascii="宋体" w:hAnsi="宋体" w:eastAsia="宋体" w:cs="宋体"/>
                <w:sz w:val="21"/>
                <w:szCs w:val="21"/>
              </w:rPr>
              <w:t>处置闭环追踪</w:t>
            </w:r>
          </w:p>
        </w:tc>
        <w:tc>
          <w:tcPr>
            <w:tcW w:w="2892" w:type="pct"/>
            <w:vAlign w:val="center"/>
          </w:tcPr>
          <w:p w14:paraId="29993D30">
            <w:pPr>
              <w:rPr>
                <w:rFonts w:hint="eastAsia" w:ascii="宋体" w:hAnsi="宋体" w:eastAsia="宋体" w:cs="宋体"/>
                <w:sz w:val="21"/>
                <w:szCs w:val="21"/>
              </w:rPr>
            </w:pPr>
            <w:r>
              <w:rPr>
                <w:rFonts w:hint="eastAsia" w:ascii="宋体" w:hAnsi="宋体" w:eastAsia="宋体" w:cs="宋体"/>
                <w:sz w:val="21"/>
                <w:szCs w:val="21"/>
              </w:rPr>
              <w:t>记录每条预警的处置状态（未整改/整改中/已整改）、处置过程与佐证材料；支持处置时限设置与逾期提醒；形成可查询、可导出的整改闭环台账；支持按部门/层面/时间统计预警数、整改率与平均处置时长。</w:t>
            </w:r>
          </w:p>
        </w:tc>
      </w:tr>
      <w:tr w14:paraId="0A394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pct"/>
            <w:vMerge w:val="restart"/>
            <w:vAlign w:val="center"/>
          </w:tcPr>
          <w:p w14:paraId="746A9927">
            <w:pPr>
              <w:jc w:val="center"/>
              <w:rPr>
                <w:rFonts w:hint="eastAsia" w:ascii="宋体" w:hAnsi="宋体" w:eastAsia="宋体" w:cs="宋体"/>
                <w:sz w:val="21"/>
                <w:szCs w:val="21"/>
              </w:rPr>
            </w:pPr>
            <w:r>
              <w:rPr>
                <w:rFonts w:hint="eastAsia" w:ascii="宋体" w:hAnsi="宋体" w:eastAsia="宋体" w:cs="宋体"/>
                <w:sz w:val="21"/>
                <w:szCs w:val="21"/>
              </w:rPr>
              <w:t>智能问答扩展</w:t>
            </w:r>
          </w:p>
        </w:tc>
        <w:tc>
          <w:tcPr>
            <w:tcW w:w="1054" w:type="pct"/>
            <w:vAlign w:val="center"/>
          </w:tcPr>
          <w:p w14:paraId="0C57918B">
            <w:pPr>
              <w:jc w:val="center"/>
              <w:rPr>
                <w:rFonts w:hint="eastAsia" w:ascii="宋体" w:hAnsi="宋体" w:eastAsia="宋体" w:cs="宋体"/>
                <w:sz w:val="21"/>
                <w:szCs w:val="21"/>
              </w:rPr>
            </w:pPr>
            <w:r>
              <w:rPr>
                <w:rFonts w:hint="eastAsia" w:ascii="宋体" w:hAnsi="宋体" w:eastAsia="宋体" w:cs="宋体"/>
                <w:sz w:val="21"/>
                <w:szCs w:val="21"/>
              </w:rPr>
              <w:t>知识库扩展</w:t>
            </w:r>
          </w:p>
        </w:tc>
        <w:tc>
          <w:tcPr>
            <w:tcW w:w="2892" w:type="pct"/>
            <w:vAlign w:val="center"/>
          </w:tcPr>
          <w:p w14:paraId="044F465B">
            <w:pPr>
              <w:rPr>
                <w:rFonts w:hint="eastAsia" w:ascii="宋体" w:hAnsi="宋体" w:eastAsia="宋体" w:cs="宋体"/>
                <w:sz w:val="21"/>
                <w:szCs w:val="21"/>
              </w:rPr>
            </w:pPr>
            <w:r>
              <w:rPr>
                <w:rFonts w:hint="eastAsia" w:ascii="宋体" w:hAnsi="宋体" w:eastAsia="宋体" w:cs="宋体"/>
                <w:sz w:val="21"/>
                <w:szCs w:val="21"/>
              </w:rPr>
              <w:t>知识库覆盖三期新增功能（指标库管理、目标设定、达成度分析、预警优化、数据归集）的操作指引及最新政策文件解读；支持文档上传、分类、更新与生效管理；问答答案可标注来源出处。</w:t>
            </w:r>
          </w:p>
        </w:tc>
      </w:tr>
      <w:tr w14:paraId="3C3FD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pct"/>
            <w:vMerge w:val="continue"/>
            <w:vAlign w:val="center"/>
          </w:tcPr>
          <w:p w14:paraId="0CB703DB">
            <w:pPr>
              <w:jc w:val="center"/>
              <w:rPr>
                <w:rFonts w:hint="eastAsia" w:ascii="宋体" w:hAnsi="宋体" w:eastAsia="宋体" w:cs="宋体"/>
                <w:sz w:val="21"/>
                <w:szCs w:val="21"/>
              </w:rPr>
            </w:pPr>
          </w:p>
        </w:tc>
        <w:tc>
          <w:tcPr>
            <w:tcW w:w="1054" w:type="pct"/>
            <w:vAlign w:val="center"/>
          </w:tcPr>
          <w:p w14:paraId="0AA0BC91">
            <w:pPr>
              <w:jc w:val="center"/>
              <w:rPr>
                <w:rFonts w:hint="eastAsia" w:ascii="宋体" w:hAnsi="宋体" w:eastAsia="宋体" w:cs="宋体"/>
                <w:sz w:val="21"/>
                <w:szCs w:val="21"/>
              </w:rPr>
            </w:pPr>
            <w:r>
              <w:rPr>
                <w:rFonts w:hint="eastAsia" w:ascii="宋体" w:hAnsi="宋体" w:eastAsia="宋体" w:cs="宋体"/>
                <w:sz w:val="21"/>
                <w:szCs w:val="21"/>
              </w:rPr>
              <w:t>自然语言数据查询</w:t>
            </w:r>
          </w:p>
        </w:tc>
        <w:tc>
          <w:tcPr>
            <w:tcW w:w="2892" w:type="pct"/>
            <w:vAlign w:val="center"/>
          </w:tcPr>
          <w:p w14:paraId="085E3160">
            <w:pPr>
              <w:rPr>
                <w:rFonts w:hint="eastAsia" w:ascii="宋体" w:hAnsi="宋体" w:eastAsia="宋体" w:cs="宋体"/>
                <w:sz w:val="21"/>
                <w:szCs w:val="21"/>
              </w:rPr>
            </w:pPr>
            <w:r>
              <w:rPr>
                <w:rFonts w:hint="eastAsia" w:ascii="宋体" w:hAnsi="宋体" w:eastAsia="宋体" w:cs="宋体"/>
                <w:sz w:val="21"/>
                <w:szCs w:val="21"/>
              </w:rPr>
              <w:t>支持面向校内诊改数据的自然语言查询（指标问数/NL2SQL），如"今年哪些专业预警次数最多"、"某专业双师比与目标差距"；支持常见问法解析，结果以表格或图表返回；查询严格遵循用户数据权限，越权数据不返回；对无法解析的问题给出澄清提示。</w:t>
            </w:r>
          </w:p>
        </w:tc>
      </w:tr>
      <w:tr w14:paraId="71BDD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pct"/>
            <w:vMerge w:val="continue"/>
            <w:vAlign w:val="center"/>
          </w:tcPr>
          <w:p w14:paraId="41FD2CD3">
            <w:pPr>
              <w:jc w:val="center"/>
              <w:rPr>
                <w:rFonts w:hint="eastAsia" w:ascii="宋体" w:hAnsi="宋体" w:eastAsia="宋体" w:cs="宋体"/>
                <w:sz w:val="21"/>
                <w:szCs w:val="21"/>
              </w:rPr>
            </w:pPr>
          </w:p>
        </w:tc>
        <w:tc>
          <w:tcPr>
            <w:tcW w:w="1054" w:type="pct"/>
            <w:vAlign w:val="center"/>
          </w:tcPr>
          <w:p w14:paraId="73D35104">
            <w:pPr>
              <w:jc w:val="center"/>
              <w:rPr>
                <w:rFonts w:hint="eastAsia" w:ascii="宋体" w:hAnsi="宋体" w:eastAsia="宋体" w:cs="宋体"/>
                <w:sz w:val="21"/>
                <w:szCs w:val="21"/>
              </w:rPr>
            </w:pPr>
            <w:r>
              <w:rPr>
                <w:rFonts w:hint="eastAsia" w:ascii="宋体" w:hAnsi="宋体" w:eastAsia="宋体" w:cs="宋体"/>
                <w:sz w:val="21"/>
                <w:szCs w:val="21"/>
              </w:rPr>
              <w:t>交互与性能</w:t>
            </w:r>
          </w:p>
        </w:tc>
        <w:tc>
          <w:tcPr>
            <w:tcW w:w="2892" w:type="pct"/>
            <w:vAlign w:val="center"/>
          </w:tcPr>
          <w:p w14:paraId="0FE6B54B">
            <w:pPr>
              <w:rPr>
                <w:rFonts w:hint="eastAsia" w:ascii="宋体" w:hAnsi="宋体" w:eastAsia="宋体" w:cs="宋体"/>
                <w:sz w:val="21"/>
                <w:szCs w:val="21"/>
              </w:rPr>
            </w:pPr>
            <w:r>
              <w:rPr>
                <w:rFonts w:hint="eastAsia" w:ascii="宋体" w:hAnsi="宋体" w:eastAsia="宋体" w:cs="宋体"/>
                <w:sz w:val="21"/>
                <w:szCs w:val="21"/>
              </w:rPr>
              <w:t>支持多轮追问与会话上下文；常规问答单次响应时间不超过 5 秒。</w:t>
            </w:r>
          </w:p>
        </w:tc>
      </w:tr>
      <w:tr w14:paraId="2794C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pct"/>
            <w:vMerge w:val="restart"/>
            <w:vAlign w:val="center"/>
          </w:tcPr>
          <w:p w14:paraId="77EDFC9E">
            <w:pPr>
              <w:jc w:val="center"/>
              <w:rPr>
                <w:rFonts w:hint="eastAsia" w:ascii="宋体" w:hAnsi="宋体" w:eastAsia="宋体" w:cs="宋体"/>
                <w:sz w:val="21"/>
                <w:szCs w:val="21"/>
              </w:rPr>
            </w:pPr>
            <w:r>
              <w:rPr>
                <w:rFonts w:hint="eastAsia" w:ascii="宋体" w:hAnsi="宋体" w:eastAsia="宋体" w:cs="宋体"/>
                <w:sz w:val="21"/>
                <w:szCs w:val="21"/>
              </w:rPr>
              <w:t>数据溯源与明细穿透查询</w:t>
            </w:r>
          </w:p>
        </w:tc>
        <w:tc>
          <w:tcPr>
            <w:tcW w:w="1054" w:type="pct"/>
            <w:vAlign w:val="center"/>
          </w:tcPr>
          <w:p w14:paraId="025EE5D3">
            <w:pPr>
              <w:jc w:val="center"/>
              <w:rPr>
                <w:rFonts w:hint="eastAsia" w:ascii="宋体" w:hAnsi="宋体" w:eastAsia="宋体" w:cs="宋体"/>
                <w:sz w:val="21"/>
                <w:szCs w:val="21"/>
              </w:rPr>
            </w:pPr>
            <w:r>
              <w:rPr>
                <w:rFonts w:hint="eastAsia" w:ascii="宋体" w:hAnsi="宋体" w:eastAsia="宋体" w:cs="宋体"/>
                <w:sz w:val="21"/>
                <w:szCs w:val="21"/>
              </w:rPr>
              <w:t>指标—数据源映射（血缘配置）</w:t>
            </w:r>
          </w:p>
        </w:tc>
        <w:tc>
          <w:tcPr>
            <w:tcW w:w="2892" w:type="pct"/>
            <w:vAlign w:val="center"/>
          </w:tcPr>
          <w:p w14:paraId="376340EF">
            <w:pPr>
              <w:rPr>
                <w:rFonts w:hint="eastAsia" w:ascii="宋体" w:hAnsi="宋体" w:eastAsia="宋体" w:cs="宋体"/>
                <w:sz w:val="21"/>
                <w:szCs w:val="21"/>
              </w:rPr>
            </w:pPr>
            <w:r>
              <w:rPr>
                <w:rFonts w:hint="eastAsia" w:ascii="宋体" w:hAnsi="宋体" w:eastAsia="宋体" w:cs="宋体"/>
                <w:sz w:val="21"/>
                <w:szCs w:val="21"/>
              </w:rPr>
              <w:t>对平台重要统计指标（如学生数、教师数、毕业生数、招生数、班级数、双师比、课程门数等）建立"指标 → 数据源系统 → 取数口径 → 明细记录"的映射关系。</w:t>
            </w:r>
          </w:p>
        </w:tc>
      </w:tr>
      <w:tr w14:paraId="58FF1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9" w:hRule="atLeast"/>
        </w:trPr>
        <w:tc>
          <w:tcPr>
            <w:tcW w:w="1053" w:type="pct"/>
            <w:vMerge w:val="continue"/>
            <w:vAlign w:val="center"/>
          </w:tcPr>
          <w:p w14:paraId="32468063">
            <w:pPr>
              <w:jc w:val="center"/>
              <w:rPr>
                <w:rFonts w:hint="eastAsia" w:ascii="宋体" w:hAnsi="宋体" w:eastAsia="宋体" w:cs="宋体"/>
                <w:sz w:val="21"/>
                <w:szCs w:val="21"/>
              </w:rPr>
            </w:pPr>
          </w:p>
        </w:tc>
        <w:tc>
          <w:tcPr>
            <w:tcW w:w="1054" w:type="pct"/>
            <w:vAlign w:val="center"/>
          </w:tcPr>
          <w:p w14:paraId="3AF7D87B">
            <w:pPr>
              <w:jc w:val="center"/>
              <w:rPr>
                <w:rFonts w:hint="eastAsia" w:ascii="宋体" w:hAnsi="宋体" w:eastAsia="宋体" w:cs="宋体"/>
                <w:sz w:val="21"/>
                <w:szCs w:val="21"/>
              </w:rPr>
            </w:pPr>
            <w:r>
              <w:rPr>
                <w:rFonts w:hint="eastAsia" w:ascii="宋体" w:hAnsi="宋体" w:eastAsia="宋体" w:cs="宋体"/>
                <w:sz w:val="21"/>
                <w:szCs w:val="21"/>
              </w:rPr>
              <w:t>一键穿透查看明细</w:t>
            </w:r>
          </w:p>
        </w:tc>
        <w:tc>
          <w:tcPr>
            <w:tcW w:w="2892" w:type="pct"/>
            <w:vAlign w:val="center"/>
          </w:tcPr>
          <w:p w14:paraId="2F8B7163">
            <w:pPr>
              <w:rPr>
                <w:rFonts w:hint="eastAsia" w:ascii="宋体" w:hAnsi="宋体" w:eastAsia="宋体" w:cs="宋体"/>
                <w:sz w:val="21"/>
                <w:szCs w:val="21"/>
              </w:rPr>
            </w:pPr>
            <w:r>
              <w:rPr>
                <w:rFonts w:hint="eastAsia" w:ascii="宋体" w:hAnsi="宋体" w:eastAsia="宋体" w:cs="宋体"/>
                <w:sz w:val="21"/>
                <w:szCs w:val="21"/>
              </w:rPr>
              <w:t>在决策中心、专业监测、诊改达成度分析、预警详情等展示指标数值处提供"查看明细/数据溯源"入口，点击可跳转（或以弹窗/内嵌方式）至对应数据源系统的统计明细数据（如教务系统学生名单、人事系统教师名单、毕业库明细），支持按学年度、专业、部门等条件过滤，实现"聚合值 → 逐条明细"的穿透。</w:t>
            </w:r>
          </w:p>
        </w:tc>
      </w:tr>
      <w:tr w14:paraId="0AF24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pct"/>
            <w:vMerge w:val="continue"/>
            <w:vAlign w:val="center"/>
          </w:tcPr>
          <w:p w14:paraId="11F5001B">
            <w:pPr>
              <w:jc w:val="center"/>
              <w:rPr>
                <w:rFonts w:hint="eastAsia" w:ascii="宋体" w:hAnsi="宋体" w:eastAsia="宋体" w:cs="宋体"/>
                <w:sz w:val="21"/>
                <w:szCs w:val="21"/>
              </w:rPr>
            </w:pPr>
          </w:p>
        </w:tc>
        <w:tc>
          <w:tcPr>
            <w:tcW w:w="1054" w:type="pct"/>
            <w:vAlign w:val="center"/>
          </w:tcPr>
          <w:p w14:paraId="78175727">
            <w:pPr>
              <w:jc w:val="center"/>
              <w:rPr>
                <w:rFonts w:hint="eastAsia" w:ascii="宋体" w:hAnsi="宋体" w:eastAsia="宋体" w:cs="宋体"/>
                <w:sz w:val="21"/>
                <w:szCs w:val="21"/>
              </w:rPr>
            </w:pPr>
            <w:r>
              <w:rPr>
                <w:rFonts w:hint="eastAsia" w:ascii="宋体" w:hAnsi="宋体" w:eastAsia="宋体" w:cs="宋体"/>
                <w:sz w:val="21"/>
                <w:szCs w:val="21"/>
              </w:rPr>
              <w:t>双模式保障</w:t>
            </w:r>
          </w:p>
        </w:tc>
        <w:tc>
          <w:tcPr>
            <w:tcW w:w="2892" w:type="pct"/>
            <w:vAlign w:val="center"/>
          </w:tcPr>
          <w:p w14:paraId="39591B69">
            <w:pPr>
              <w:rPr>
                <w:rFonts w:hint="eastAsia" w:ascii="宋体" w:hAnsi="宋体" w:eastAsia="宋体" w:cs="宋体"/>
                <w:sz w:val="21"/>
                <w:szCs w:val="21"/>
              </w:rPr>
            </w:pPr>
            <w:r>
              <w:rPr>
                <w:rFonts w:hint="eastAsia" w:ascii="宋体" w:hAnsi="宋体" w:eastAsia="宋体" w:cs="宋体"/>
                <w:sz w:val="21"/>
                <w:szCs w:val="21"/>
              </w:rPr>
              <w:t>优先深链跳转至数据源系统对应明细页面（经单点登录/令牌传递免重复登录）；当源系统不提供可跳转页面时，展示平台内经接口归集并同步的源数据明细，保证溯源可用。</w:t>
            </w:r>
          </w:p>
        </w:tc>
      </w:tr>
      <w:tr w14:paraId="53C81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pct"/>
            <w:vMerge w:val="continue"/>
            <w:vAlign w:val="center"/>
          </w:tcPr>
          <w:p w14:paraId="6879F600">
            <w:pPr>
              <w:jc w:val="center"/>
              <w:rPr>
                <w:rFonts w:hint="eastAsia" w:ascii="宋体" w:hAnsi="宋体" w:eastAsia="宋体" w:cs="宋体"/>
                <w:sz w:val="21"/>
                <w:szCs w:val="21"/>
              </w:rPr>
            </w:pPr>
          </w:p>
        </w:tc>
        <w:tc>
          <w:tcPr>
            <w:tcW w:w="1054" w:type="pct"/>
            <w:vAlign w:val="center"/>
          </w:tcPr>
          <w:p w14:paraId="7CD030D9">
            <w:pPr>
              <w:jc w:val="center"/>
              <w:rPr>
                <w:rFonts w:hint="eastAsia" w:ascii="宋体" w:hAnsi="宋体" w:eastAsia="宋体" w:cs="宋体"/>
                <w:sz w:val="21"/>
                <w:szCs w:val="21"/>
              </w:rPr>
            </w:pPr>
            <w:r>
              <w:rPr>
                <w:rFonts w:hint="eastAsia" w:ascii="宋体" w:hAnsi="宋体" w:eastAsia="宋体" w:cs="宋体"/>
                <w:sz w:val="21"/>
                <w:szCs w:val="21"/>
              </w:rPr>
              <w:t>口径与来源透明</w:t>
            </w:r>
          </w:p>
        </w:tc>
        <w:tc>
          <w:tcPr>
            <w:tcW w:w="2892" w:type="pct"/>
            <w:vAlign w:val="center"/>
          </w:tcPr>
          <w:p w14:paraId="35F4A12F">
            <w:pPr>
              <w:rPr>
                <w:rFonts w:hint="eastAsia" w:ascii="宋体" w:hAnsi="宋体" w:eastAsia="宋体" w:cs="宋体"/>
                <w:sz w:val="21"/>
                <w:szCs w:val="21"/>
              </w:rPr>
            </w:pPr>
            <w:r>
              <w:rPr>
                <w:rFonts w:hint="eastAsia" w:ascii="宋体" w:hAnsi="宋体" w:eastAsia="宋体" w:cs="宋体"/>
                <w:sz w:val="21"/>
                <w:szCs w:val="21"/>
              </w:rPr>
              <w:t>展示该指标的计算公式、取数来源系统、取数时间戳/数据快照版本、字段映射关系，便于核对统计口径是否一致。</w:t>
            </w:r>
          </w:p>
        </w:tc>
      </w:tr>
      <w:tr w14:paraId="5864C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1053" w:type="pct"/>
            <w:vMerge w:val="restart"/>
            <w:vAlign w:val="center"/>
          </w:tcPr>
          <w:p w14:paraId="6F402973">
            <w:pPr>
              <w:jc w:val="center"/>
              <w:rPr>
                <w:rFonts w:hint="eastAsia" w:ascii="宋体" w:hAnsi="宋体" w:eastAsia="宋体" w:cs="宋体"/>
                <w:sz w:val="21"/>
                <w:szCs w:val="21"/>
              </w:rPr>
            </w:pPr>
            <w:r>
              <w:rPr>
                <w:rFonts w:hint="eastAsia" w:ascii="宋体" w:hAnsi="宋体" w:eastAsia="宋体" w:cs="宋体"/>
                <w:sz w:val="21"/>
                <w:szCs w:val="21"/>
              </w:rPr>
              <w:t>系统兼容性与扩展性要求</w:t>
            </w:r>
          </w:p>
        </w:tc>
        <w:tc>
          <w:tcPr>
            <w:tcW w:w="1054" w:type="pct"/>
            <w:vAlign w:val="center"/>
          </w:tcPr>
          <w:p w14:paraId="24E0E262">
            <w:pPr>
              <w:jc w:val="center"/>
              <w:rPr>
                <w:rFonts w:hint="eastAsia" w:ascii="宋体" w:hAnsi="宋体" w:eastAsia="宋体" w:cs="宋体"/>
                <w:sz w:val="21"/>
                <w:szCs w:val="21"/>
              </w:rPr>
            </w:pPr>
            <w:r>
              <w:rPr>
                <w:rFonts w:hint="eastAsia" w:ascii="宋体" w:hAnsi="宋体" w:eastAsia="宋体" w:cs="宋体"/>
                <w:sz w:val="21"/>
                <w:szCs w:val="21"/>
              </w:rPr>
              <w:t>兼容性</w:t>
            </w:r>
          </w:p>
        </w:tc>
        <w:tc>
          <w:tcPr>
            <w:tcW w:w="2892" w:type="pct"/>
            <w:vAlign w:val="center"/>
          </w:tcPr>
          <w:p w14:paraId="7A0C68F5">
            <w:pPr>
              <w:rPr>
                <w:rFonts w:hint="eastAsia" w:ascii="宋体" w:hAnsi="宋体" w:eastAsia="宋体" w:cs="宋体"/>
                <w:sz w:val="21"/>
                <w:szCs w:val="21"/>
              </w:rPr>
            </w:pPr>
            <w:r>
              <w:rPr>
                <w:rFonts w:hint="eastAsia" w:ascii="宋体" w:hAnsi="宋体" w:eastAsia="宋体" w:cs="宋体"/>
                <w:sz w:val="21"/>
                <w:szCs w:val="21"/>
              </w:rPr>
              <w:t>"教学诊改建设（三期）"需与数据中台对接；新增页面/菜单纳入现有统一入口与登录鉴权。</w:t>
            </w:r>
          </w:p>
        </w:tc>
      </w:tr>
      <w:tr w14:paraId="2E1C4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pct"/>
            <w:vMerge w:val="continue"/>
            <w:vAlign w:val="center"/>
          </w:tcPr>
          <w:p w14:paraId="5C8B02D8">
            <w:pPr>
              <w:jc w:val="center"/>
              <w:rPr>
                <w:rFonts w:hint="eastAsia" w:ascii="宋体" w:hAnsi="宋体" w:eastAsia="宋体" w:cs="宋体"/>
                <w:sz w:val="21"/>
                <w:szCs w:val="21"/>
              </w:rPr>
            </w:pPr>
          </w:p>
        </w:tc>
        <w:tc>
          <w:tcPr>
            <w:tcW w:w="1054" w:type="pct"/>
            <w:vAlign w:val="center"/>
          </w:tcPr>
          <w:p w14:paraId="50794937">
            <w:pPr>
              <w:jc w:val="center"/>
              <w:rPr>
                <w:rFonts w:hint="eastAsia" w:ascii="宋体" w:hAnsi="宋体" w:eastAsia="宋体" w:cs="宋体"/>
                <w:sz w:val="21"/>
                <w:szCs w:val="21"/>
              </w:rPr>
            </w:pPr>
            <w:r>
              <w:rPr>
                <w:rFonts w:hint="eastAsia" w:ascii="宋体" w:hAnsi="宋体" w:eastAsia="宋体" w:cs="宋体"/>
                <w:sz w:val="21"/>
                <w:szCs w:val="21"/>
              </w:rPr>
              <w:t>扩展性</w:t>
            </w:r>
          </w:p>
        </w:tc>
        <w:tc>
          <w:tcPr>
            <w:tcW w:w="2892" w:type="pct"/>
            <w:vAlign w:val="center"/>
          </w:tcPr>
          <w:p w14:paraId="20238803">
            <w:pPr>
              <w:rPr>
                <w:rFonts w:hint="eastAsia" w:ascii="宋体" w:hAnsi="宋体" w:eastAsia="宋体" w:cs="宋体"/>
                <w:sz w:val="21"/>
                <w:szCs w:val="21"/>
              </w:rPr>
            </w:pPr>
            <w:r>
              <w:rPr>
                <w:rFonts w:hint="eastAsia" w:ascii="宋体" w:hAnsi="宋体" w:eastAsia="宋体" w:cs="宋体"/>
                <w:sz w:val="21"/>
                <w:szCs w:val="21"/>
              </w:rPr>
              <w:t>指标、诊断点、预警规则、接口、知识库均以配置化方式扩展，新增指标/接口/规则无需修改代码；提供标准数据/服务接口（RESTful），支持后续对接更多业务系统与省级平台。</w:t>
            </w:r>
          </w:p>
        </w:tc>
      </w:tr>
      <w:tr w14:paraId="5C888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3" w:type="pct"/>
            <w:vMerge w:val="continue"/>
            <w:vAlign w:val="center"/>
          </w:tcPr>
          <w:p w14:paraId="2EEA60D9">
            <w:pPr>
              <w:jc w:val="center"/>
              <w:rPr>
                <w:rFonts w:hint="eastAsia" w:ascii="宋体" w:hAnsi="宋体" w:eastAsia="宋体" w:cs="宋体"/>
                <w:sz w:val="21"/>
                <w:szCs w:val="21"/>
              </w:rPr>
            </w:pPr>
          </w:p>
        </w:tc>
        <w:tc>
          <w:tcPr>
            <w:tcW w:w="1054" w:type="pct"/>
            <w:vAlign w:val="center"/>
          </w:tcPr>
          <w:p w14:paraId="181EA24A">
            <w:pPr>
              <w:jc w:val="center"/>
              <w:rPr>
                <w:rFonts w:hint="eastAsia" w:ascii="宋体" w:hAnsi="宋体" w:eastAsia="宋体" w:cs="宋体"/>
                <w:sz w:val="21"/>
                <w:szCs w:val="21"/>
              </w:rPr>
            </w:pPr>
            <w:r>
              <w:rPr>
                <w:rFonts w:hint="eastAsia" w:ascii="宋体" w:hAnsi="宋体" w:eastAsia="宋体" w:cs="宋体"/>
                <w:sz w:val="21"/>
                <w:szCs w:val="21"/>
              </w:rPr>
              <w:t>非功能指标</w:t>
            </w:r>
          </w:p>
        </w:tc>
        <w:tc>
          <w:tcPr>
            <w:tcW w:w="2892" w:type="pct"/>
            <w:vAlign w:val="center"/>
          </w:tcPr>
          <w:p w14:paraId="07DBF4E6">
            <w:pPr>
              <w:rPr>
                <w:rFonts w:hint="eastAsia" w:ascii="宋体" w:hAnsi="宋体" w:eastAsia="宋体" w:cs="宋体"/>
                <w:sz w:val="21"/>
                <w:szCs w:val="21"/>
              </w:rPr>
            </w:pPr>
            <w:r>
              <w:rPr>
                <w:rFonts w:hint="eastAsia" w:ascii="宋体" w:hAnsi="宋体" w:eastAsia="宋体" w:cs="宋体"/>
                <w:sz w:val="21"/>
                <w:szCs w:val="21"/>
              </w:rPr>
              <w:t>支持不少于 100 用户同时在线；常规页面响应时间不超过 3 秒；关键操作具备操作日志与审计；数据分级分类，权限控制到按钮级。</w:t>
            </w:r>
          </w:p>
        </w:tc>
      </w:tr>
    </w:tbl>
    <w:p w14:paraId="761EF610">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2.1.2技术架构要求</w:t>
      </w:r>
    </w:p>
    <w:p w14:paraId="4671D92A">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1)系统及应用建设所采用的技术方案充分支持当前需求和未来扩展，并具有优良的稳定性及安全保障功能；</w:t>
      </w:r>
    </w:p>
    <w:p w14:paraId="320CEF99">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2)系统采用SOA面向服务的体系架构；</w:t>
      </w:r>
    </w:p>
    <w:p w14:paraId="6D9921C2">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3)系统支持IE、Chrome、360等主流浏览器；</w:t>
      </w:r>
    </w:p>
    <w:p w14:paraId="0C13641F">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4)系统采用JSON或等同的数据交换技术及符合RESTful Service的标准进行业务系统整合和集成支持；</w:t>
      </w:r>
    </w:p>
    <w:p w14:paraId="74984512">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5)系统支持单点故障和无故障升级，在校园网内的业务请求延时&lt;1秒；</w:t>
      </w:r>
    </w:p>
    <w:p w14:paraId="715950DC">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6)系统支持WINDOWS Server 2008/2012、Linux等主流操作系统平台；</w:t>
      </w:r>
    </w:p>
    <w:p w14:paraId="15E6B4B3">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7)系统支持MYSQL5.7及以上版本数据库，中间件采用Tomcat 8.5及以上。</w:t>
      </w:r>
    </w:p>
    <w:p w14:paraId="3814C3A2">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2.1.3性能要求</w:t>
      </w:r>
    </w:p>
    <w:p w14:paraId="1E998D78">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1）界面响应式布局，支持主流浏览器；</w:t>
      </w:r>
    </w:p>
    <w:p w14:paraId="0F369034">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2）支持采集表单配置，灵活匹配采集需求；</w:t>
      </w:r>
    </w:p>
    <w:p w14:paraId="73229C6C">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3）支持多数据源，可以实现动态切换数据源；</w:t>
      </w:r>
    </w:p>
    <w:p w14:paraId="4033EC3C">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4）支持按钮级的权限分配，可自由组合权限为权限组；</w:t>
      </w:r>
    </w:p>
    <w:p w14:paraId="2D39035B">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5）系统性能稳定，并具有保证系统和数据安全的可靠机制。一般正常环境下要求应用系统最长系统响应时间不超过3秒，系统正常使用后，应用系统bug最长排除时间不超过48小时。</w:t>
      </w:r>
    </w:p>
    <w:p w14:paraId="27B3CDD6">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2.1.4安全要求</w:t>
      </w:r>
    </w:p>
    <w:p w14:paraId="331959D9">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1）保证应用系统7×24小时正常运行；</w:t>
      </w:r>
    </w:p>
    <w:p w14:paraId="6CA23A35">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2）每月停机维护时间不多于2小时；</w:t>
      </w:r>
    </w:p>
    <w:p w14:paraId="0194FF6B">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3）保证数据的完整性与一致性，长事务数据，必须进行断点恢复和数据的完整性检验。提供对系统运行故障（例如断电或死机）所导致的数据不一致性的恢复和补偿措施；</w:t>
      </w:r>
    </w:p>
    <w:p w14:paraId="0D3A5A7E">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4）操作日记。记录对业务模块的操作。软件自动对业务操作人员的软件使用信息进行记录（包括用户名、进入时间、退出时间、使用的计算机IP等）从而健全对整个系统的监督、监察措施，并在出现意外时，可以作为参考依据之一。</w:t>
      </w:r>
    </w:p>
    <w:p w14:paraId="636C64EE">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5）敏感数据（凭证、个人信息）加密存储与传输，接口调用采用 HTTPS 加密。</w:t>
      </w:r>
    </w:p>
    <w:p w14:paraId="786ADC48">
      <w:pPr>
        <w:spacing w:line="360" w:lineRule="auto"/>
        <w:ind w:left="210" w:leftChars="100"/>
        <w:rPr>
          <w:rFonts w:hint="eastAsia" w:ascii="宋体" w:hAnsi="宋体" w:eastAsia="宋体" w:cs="宋体"/>
          <w:sz w:val="21"/>
          <w:szCs w:val="21"/>
        </w:rPr>
      </w:pPr>
      <w:r>
        <w:rPr>
          <w:rFonts w:hint="eastAsia" w:ascii="宋体" w:hAnsi="宋体" w:eastAsia="宋体" w:cs="宋体"/>
          <w:sz w:val="21"/>
          <w:szCs w:val="21"/>
        </w:rPr>
        <w:t>2.2部署阶段工作要求</w:t>
      </w:r>
    </w:p>
    <w:p w14:paraId="411D336C">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2.2.1部署安装</w:t>
      </w:r>
    </w:p>
    <w:p w14:paraId="1EF485DD">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投标方根据工作要求进行应用系统及配套基础软件的安装和部署，并通过建设单位验收。</w:t>
      </w:r>
    </w:p>
    <w:p w14:paraId="7CF9E1F9">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2.2.2联调测试</w:t>
      </w:r>
    </w:p>
    <w:p w14:paraId="3BE0C0A4">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投标方完成本项目中所包含的网络、安全、数据、应用等的联调测试工作，最终实现上线试运行，并通过建设单位验收。</w:t>
      </w:r>
    </w:p>
    <w:p w14:paraId="70DEE5E3">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1）投标方在系统交付时须提供关于数据安全、系统安全的测试报告，与国家职业教育相关业务系统可以实现系统融合和数据对接等工作的承诺，在项目交付期内需要完成、并由采购人组织技术专家验收论证和评审；</w:t>
      </w:r>
    </w:p>
    <w:p w14:paraId="1B2A051F">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2）系统交付前测试期间，投标方需要进行所有约定的相关数据接口类功能的现场联调，完成提供的系统平台与其他系统数据平稳对接的相关测试，包括必要的性能和压力测试。</w:t>
      </w:r>
    </w:p>
    <w:p w14:paraId="671B4601">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2.2.3验收交付</w:t>
      </w:r>
    </w:p>
    <w:p w14:paraId="5125414B">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在试运行工作完成后，建设单位组织专家或者第三方评测机构对应用软件成果进行评测，根据投标方的投标承诺、本磋商文件要求，以及行业标准、国家标准进行工作验收。投标方须将各个阶段产生的全面、规范的成果和文档资料交付给建设单位，并提供明确的交付清单。同时，成果和文档资料必须符合软件工程的相关要求。</w:t>
      </w:r>
    </w:p>
    <w:p w14:paraId="7D02BA59">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1）系统交付时需要提交软件开发设计说明和接口规范说明，并向建设单位免费提供系统的接口，用以系统今后的数据扩展和功能迭代；</w:t>
      </w:r>
    </w:p>
    <w:p w14:paraId="4797F8EC">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2）系统交付需要无版权纠纷和盗版风险，所有的接口对接和数据联通需要具有合法授权；</w:t>
      </w:r>
    </w:p>
    <w:p w14:paraId="6F0DF38F">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3）保障数据安全，保证数据的真实性和实效性，投标方需要出具数据保障安全承诺书；</w:t>
      </w:r>
    </w:p>
    <w:p w14:paraId="37B8A814">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4）系统所有围绕着功能的演示和测试需要在预交付的真实系统环境下进行，不能以DEMO系统替代。</w:t>
      </w:r>
    </w:p>
    <w:p w14:paraId="55A5CB32">
      <w:pPr>
        <w:spacing w:line="360" w:lineRule="auto"/>
        <w:ind w:left="210" w:leftChars="100"/>
        <w:rPr>
          <w:rFonts w:hint="eastAsia" w:ascii="宋体" w:hAnsi="宋体" w:eastAsia="宋体" w:cs="宋体"/>
          <w:sz w:val="21"/>
          <w:szCs w:val="21"/>
        </w:rPr>
      </w:pPr>
      <w:r>
        <w:rPr>
          <w:rFonts w:hint="eastAsia" w:ascii="宋体" w:hAnsi="宋体" w:eastAsia="宋体" w:cs="宋体"/>
          <w:sz w:val="21"/>
          <w:szCs w:val="21"/>
        </w:rPr>
        <w:t>2.3项目实施要求</w:t>
      </w:r>
    </w:p>
    <w:p w14:paraId="02D4B290">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2.3.1项目工期要求</w:t>
      </w:r>
    </w:p>
    <w:p w14:paraId="62E0E653">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合同签订之日后30天内完成该项目建设，并经建设单位验收合格。</w:t>
      </w:r>
    </w:p>
    <w:p w14:paraId="381E5333">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2.3.2项目实施管理</w:t>
      </w:r>
    </w:p>
    <w:p w14:paraId="24A4F631">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投标方须根据项目建设内容及要求，制定详细的项目实施方案，投标方关于实施方案的描述应具体包括如下内容：</w:t>
      </w:r>
    </w:p>
    <w:p w14:paraId="6DABADE9">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1）项目实施的管理方法与措施，使项目有系统计划、有序组织、科学指导和有效控制，促进项目全面顺利实施。在实施计划的基础上，方案中应进一步明确和细化每个阶段的工作范围、内容、过程、责任、交付成果等；</w:t>
      </w:r>
    </w:p>
    <w:p w14:paraId="76189719">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2）项目的实施进度、组织、风险、质量、变更、文档管理等；</w:t>
      </w:r>
    </w:p>
    <w:p w14:paraId="39787104">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3）投标方和建设单位须组建项目实施小组，总体人员配备方案科学、合理，须明确本项目开发实施队伍的人员架构、数量、技术实力及职责分工，并保证人员的数量、质量和人员的稳定性、连续性；</w:t>
      </w:r>
    </w:p>
    <w:p w14:paraId="482D49AC">
      <w:pPr>
        <w:spacing w:line="360" w:lineRule="auto"/>
        <w:ind w:left="210" w:leftChars="100"/>
        <w:rPr>
          <w:rFonts w:hint="eastAsia" w:ascii="宋体" w:hAnsi="宋体" w:eastAsia="宋体" w:cs="宋体"/>
          <w:sz w:val="21"/>
          <w:szCs w:val="21"/>
        </w:rPr>
      </w:pPr>
      <w:r>
        <w:rPr>
          <w:rFonts w:hint="eastAsia" w:ascii="宋体" w:hAnsi="宋体" w:eastAsia="宋体" w:cs="宋体"/>
          <w:sz w:val="21"/>
          <w:szCs w:val="21"/>
        </w:rPr>
        <w:t>2.4技术支持与服务要求</w:t>
      </w:r>
    </w:p>
    <w:p w14:paraId="575D4186">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2.4.1质保期要求</w:t>
      </w:r>
    </w:p>
    <w:p w14:paraId="3FD1FCAA">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投标方应确保本次招标的各类应用系统安全稳定的运行，并承诺提供两年免费质保服务，售后服务期自验收合格之日开始计算。服务内容需包括技术支持、使用培训、使用答疑、升级服务等，服务价格包含在本项目总价中。</w:t>
      </w:r>
    </w:p>
    <w:p w14:paraId="5872DB64">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2.4.2运行保障能力</w:t>
      </w:r>
    </w:p>
    <w:p w14:paraId="7650DF01">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投标方应充分说明公司的运行保障能力，包括本地化技术支持队伍、能力配置、人员配置、机构情况，在本地有无技术支持中心、地点设在何处等。</w:t>
      </w:r>
    </w:p>
    <w:p w14:paraId="2CC7B500">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2.4.3售后服务要求</w:t>
      </w:r>
    </w:p>
    <w:p w14:paraId="69BD3B9D">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投标方须提供一套完整的运维管理服务方案，方案中应对服务的范围和内容进行详细阐述，并至少包括以下内容：</w:t>
      </w:r>
    </w:p>
    <w:p w14:paraId="0BD712DE">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1）应急故障处理：投标方在接到故障报修要求时，1小时内做出明确响应和安排，在2小时内为建设单位提供维修服务，并做出故障诊断报告；</w:t>
      </w:r>
    </w:p>
    <w:p w14:paraId="1124C930">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2）需求变更：对因部门业务流程的变化、性能要求提升等因素导致的部署结构变化（如搭建双机环境），提供变更支持；</w:t>
      </w:r>
    </w:p>
    <w:p w14:paraId="55CBC4EE">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3）运行支持：投标方应提供7×24小时技术支持服务，在接到技术支持要求时，应为系统使用人员提供如何使用系统的咨询。对系统运行过程中用户及业务部门的问题提供解答和问题解决跟踪，对于关键业务点的上线推广与运行提供现场保障；</w:t>
      </w:r>
    </w:p>
    <w:p w14:paraId="0399EC3D">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4）热线服务：投标方应提供热线电话、E-mail、传真、服务网站等途径，随时接受建设单位提出的各种技术问题，并在24小时内提出解决方案；</w:t>
      </w:r>
    </w:p>
    <w:p w14:paraId="05316241">
      <w:pPr>
        <w:spacing w:line="360" w:lineRule="auto"/>
        <w:ind w:left="420" w:leftChars="200"/>
        <w:rPr>
          <w:rFonts w:hint="eastAsia" w:ascii="宋体" w:hAnsi="宋体" w:eastAsia="宋体" w:cs="宋体"/>
          <w:sz w:val="21"/>
          <w:szCs w:val="21"/>
        </w:rPr>
      </w:pPr>
      <w:r>
        <w:rPr>
          <w:rFonts w:hint="eastAsia" w:ascii="宋体" w:hAnsi="宋体" w:eastAsia="宋体" w:cs="宋体"/>
          <w:sz w:val="21"/>
          <w:szCs w:val="21"/>
        </w:rPr>
        <w:t>5）定期跟踪：定期调查和跟踪软件的使用情况和出现的问题，及时解决问题。</w:t>
      </w:r>
    </w:p>
    <w:p w14:paraId="25CFDED1">
      <w:pPr>
        <w:spacing w:line="360" w:lineRule="auto"/>
        <w:ind w:left="210" w:leftChars="100" w:firstLine="420" w:firstLineChars="200"/>
        <w:rPr>
          <w:rFonts w:hint="eastAsia" w:ascii="宋体" w:hAnsi="宋体" w:eastAsia="宋体" w:cs="宋体"/>
          <w:sz w:val="21"/>
          <w:szCs w:val="21"/>
        </w:rPr>
      </w:pPr>
      <w:r>
        <w:rPr>
          <w:rFonts w:hint="eastAsia" w:ascii="宋体" w:hAnsi="宋体" w:eastAsia="宋体" w:cs="宋体"/>
          <w:sz w:val="21"/>
          <w:szCs w:val="21"/>
        </w:rPr>
        <w:t>2.5培训工作要求</w:t>
      </w:r>
    </w:p>
    <w:p w14:paraId="65BB06FD">
      <w:pPr>
        <w:spacing w:line="360" w:lineRule="auto"/>
        <w:ind w:left="210" w:leftChars="100" w:firstLine="420" w:firstLineChars="200"/>
        <w:rPr>
          <w:rFonts w:hint="eastAsia" w:ascii="宋体" w:hAnsi="宋体" w:eastAsia="宋体" w:cs="宋体"/>
          <w:sz w:val="21"/>
          <w:szCs w:val="21"/>
          <w:highlight w:val="none"/>
        </w:rPr>
      </w:pPr>
      <w:r>
        <w:rPr>
          <w:rFonts w:hint="eastAsia" w:ascii="宋体" w:hAnsi="宋体" w:eastAsia="宋体" w:cs="宋体"/>
          <w:sz w:val="21"/>
          <w:szCs w:val="21"/>
        </w:rPr>
        <w:t>投标方须向建设单位和用户方提供平台使用的相关培训服务，并提供一套针对不同使用对象的完整、详细的培训方案，保证培</w:t>
      </w:r>
      <w:r>
        <w:rPr>
          <w:rFonts w:hint="eastAsia" w:ascii="宋体" w:hAnsi="宋体" w:eastAsia="宋体" w:cs="宋体"/>
          <w:sz w:val="21"/>
          <w:szCs w:val="21"/>
          <w:highlight w:val="none"/>
        </w:rPr>
        <w:t>训课程符合学院各业务部门运用信息化系统的实际需要。同时保证建设单位能够进行系统的运行管理、操作、维护，故障分析处理等工作。具体培训要求包括：</w:t>
      </w:r>
    </w:p>
    <w:p w14:paraId="2BC735EE">
      <w:pPr>
        <w:spacing w:line="360" w:lineRule="auto"/>
        <w:ind w:left="210" w:leftChars="100"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1）投标方须提供具有相应专业知识、丰富的培训经验的培训讲师团队；</w:t>
      </w:r>
    </w:p>
    <w:p w14:paraId="13743628">
      <w:pPr>
        <w:spacing w:line="360" w:lineRule="auto"/>
        <w:ind w:left="210" w:leftChars="100" w:firstLine="420" w:firstLineChars="200"/>
        <w:rPr>
          <w:rFonts w:ascii="宋体" w:hAnsi="宋体" w:eastAsia="宋体" w:cs="宋体"/>
          <w:sz w:val="21"/>
          <w:szCs w:val="21"/>
          <w:highlight w:val="none"/>
        </w:rPr>
      </w:pPr>
      <w:r>
        <w:rPr>
          <w:rFonts w:hint="eastAsia" w:ascii="宋体" w:hAnsi="宋体" w:eastAsia="宋体" w:cs="宋体"/>
          <w:sz w:val="21"/>
          <w:szCs w:val="21"/>
          <w:highlight w:val="none"/>
        </w:rPr>
        <w:t>2）投标方负责提供培训所需计划和资料（包括纸质文档和电子文档）；</w:t>
      </w:r>
    </w:p>
    <w:p w14:paraId="01148A34">
      <w:pPr>
        <w:spacing w:line="360" w:lineRule="auto"/>
        <w:ind w:left="210" w:leftChars="100"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3）投标方承诺提供不少于 1 场次的集中培训，单次培训时长不少于 4 学时。培训的时间、内容、人员、期次等具体内容在具体执行过程中需根据建设单位意见进行调整后方可实施；</w:t>
      </w:r>
    </w:p>
    <w:p w14:paraId="3E7671FB">
      <w:pPr>
        <w:pStyle w:val="3"/>
        <w:spacing w:before="78" w:line="360" w:lineRule="auto"/>
        <w:ind w:left="22" w:right="99" w:firstLine="480"/>
        <w:jc w:val="both"/>
        <w:rPr>
          <w:rFonts w:hint="eastAsia" w:ascii="宋体" w:hAnsi="宋体" w:eastAsia="宋体" w:cs="宋体"/>
          <w:b/>
          <w:bCs/>
          <w:sz w:val="21"/>
          <w:szCs w:val="21"/>
        </w:rPr>
      </w:pPr>
      <w:r>
        <w:rPr>
          <w:rFonts w:hint="eastAsia" w:ascii="宋体" w:hAnsi="宋体" w:eastAsia="宋体" w:cs="宋体"/>
          <w:sz w:val="21"/>
          <w:szCs w:val="21"/>
          <w:highlight w:val="none"/>
        </w:rPr>
        <w:t>4）培训方式需包括课堂讲解、上机操作等。</w:t>
      </w:r>
    </w:p>
    <w:p w14:paraId="2162986B">
      <w:pPr>
        <w:pStyle w:val="3"/>
        <w:spacing w:before="78" w:line="360" w:lineRule="auto"/>
        <w:ind w:left="22" w:right="99" w:firstLine="480"/>
        <w:jc w:val="both"/>
        <w:rPr>
          <w:rFonts w:hint="eastAsia" w:ascii="宋体" w:hAnsi="宋体" w:eastAsia="宋体" w:cs="宋体"/>
          <w:sz w:val="21"/>
          <w:szCs w:val="21"/>
        </w:rPr>
      </w:pPr>
      <w:r>
        <w:rPr>
          <w:rFonts w:hint="eastAsia" w:ascii="宋体" w:hAnsi="宋体" w:eastAsia="宋体" w:cs="宋体"/>
          <w:spacing w:val="-1"/>
          <w:sz w:val="21"/>
          <w:szCs w:val="21"/>
          <w:lang w:eastAsia="zh-CN"/>
        </w:rPr>
        <w:t>（</w:t>
      </w:r>
      <w:r>
        <w:rPr>
          <w:rFonts w:hint="eastAsia" w:ascii="宋体" w:hAnsi="宋体" w:eastAsia="宋体" w:cs="宋体"/>
          <w:spacing w:val="-1"/>
          <w:sz w:val="21"/>
          <w:szCs w:val="21"/>
        </w:rPr>
        <w:t>具体项目内容、采购要求，以竞争性磋商文件相应规定为准。</w:t>
      </w:r>
      <w:r>
        <w:rPr>
          <w:rFonts w:hint="eastAsia" w:ascii="宋体" w:hAnsi="宋体" w:eastAsia="宋体" w:cs="宋体"/>
          <w:spacing w:val="-1"/>
          <w:sz w:val="21"/>
          <w:szCs w:val="21"/>
          <w:lang w:eastAsia="zh-CN"/>
        </w:rPr>
        <w:t>）</w:t>
      </w:r>
    </w:p>
    <w:p w14:paraId="7965B545">
      <w:pPr>
        <w:pStyle w:val="3"/>
        <w:spacing w:before="183" w:line="360" w:lineRule="auto"/>
        <w:rPr>
          <w:rFonts w:hint="eastAsia" w:ascii="宋体" w:hAnsi="宋体" w:eastAsia="宋体" w:cs="宋体"/>
          <w:sz w:val="21"/>
          <w:szCs w:val="21"/>
        </w:rPr>
      </w:pPr>
      <w:r>
        <w:rPr>
          <w:rFonts w:hint="eastAsia" w:ascii="宋体" w:hAnsi="宋体" w:eastAsia="宋体" w:cs="宋体"/>
          <w:b/>
          <w:bCs/>
          <w:spacing w:val="-3"/>
          <w:sz w:val="21"/>
          <w:szCs w:val="21"/>
        </w:rPr>
        <w:t>二、合格的供应商必须具备以下条件：</w:t>
      </w:r>
    </w:p>
    <w:p w14:paraId="2F3BB3FE">
      <w:pPr>
        <w:pStyle w:val="3"/>
        <w:keepNext w:val="0"/>
        <w:keepLines w:val="0"/>
        <w:pageBreakBefore w:val="0"/>
        <w:widowControl/>
        <w:kinsoku w:val="0"/>
        <w:wordWrap/>
        <w:overflowPunct/>
        <w:topLinePunct w:val="0"/>
        <w:autoSpaceDE w:val="0"/>
        <w:autoSpaceDN w:val="0"/>
        <w:bidi w:val="0"/>
        <w:adjustRightInd w:val="0"/>
        <w:snapToGrid w:val="0"/>
        <w:spacing w:before="183" w:line="360" w:lineRule="auto"/>
        <w:ind w:firstLine="416" w:firstLineChars="200"/>
        <w:textAlignment w:val="baseline"/>
        <w:rPr>
          <w:rFonts w:hint="eastAsia" w:ascii="宋体" w:hAnsi="宋体" w:eastAsia="宋体" w:cs="宋体"/>
          <w:sz w:val="21"/>
          <w:szCs w:val="21"/>
        </w:rPr>
      </w:pPr>
      <w:r>
        <w:rPr>
          <w:rFonts w:hint="eastAsia" w:ascii="宋体" w:hAnsi="宋体" w:eastAsia="宋体" w:cs="宋体"/>
          <w:spacing w:val="-1"/>
          <w:sz w:val="21"/>
          <w:szCs w:val="21"/>
        </w:rPr>
        <w:t>1.符合《中华人民共和国政府采购法》第二十二条规定的供应商。</w:t>
      </w:r>
    </w:p>
    <w:p w14:paraId="2D3EB459">
      <w:pPr>
        <w:pStyle w:val="3"/>
        <w:keepNext w:val="0"/>
        <w:keepLines w:val="0"/>
        <w:pageBreakBefore w:val="0"/>
        <w:widowControl/>
        <w:kinsoku w:val="0"/>
        <w:wordWrap/>
        <w:overflowPunct/>
        <w:topLinePunct w:val="0"/>
        <w:autoSpaceDE w:val="0"/>
        <w:autoSpaceDN w:val="0"/>
        <w:bidi w:val="0"/>
        <w:adjustRightInd w:val="0"/>
        <w:snapToGrid w:val="0"/>
        <w:spacing w:before="183" w:line="360" w:lineRule="auto"/>
        <w:ind w:firstLine="416" w:firstLineChars="200"/>
        <w:textAlignment w:val="baseline"/>
        <w:rPr>
          <w:rFonts w:hint="eastAsia" w:ascii="宋体" w:hAnsi="宋体" w:eastAsia="宋体" w:cs="宋体"/>
          <w:sz w:val="21"/>
          <w:szCs w:val="21"/>
        </w:rPr>
      </w:pPr>
      <w:r>
        <w:rPr>
          <w:rFonts w:hint="eastAsia" w:ascii="宋体" w:hAnsi="宋体" w:eastAsia="宋体" w:cs="宋体"/>
          <w:spacing w:val="-1"/>
          <w:sz w:val="21"/>
          <w:szCs w:val="21"/>
        </w:rPr>
        <w:t>2.合格供应商必须提供下列资料（未提供的将被视作未实质性响应</w:t>
      </w:r>
      <w:r>
        <w:rPr>
          <w:rFonts w:hint="eastAsia" w:ascii="宋体" w:hAnsi="宋体" w:eastAsia="宋体" w:cs="宋体"/>
          <w:spacing w:val="-60"/>
          <w:sz w:val="21"/>
          <w:szCs w:val="21"/>
        </w:rPr>
        <w:t>）：</w:t>
      </w:r>
    </w:p>
    <w:p w14:paraId="137D2A4F">
      <w:pPr>
        <w:pStyle w:val="3"/>
        <w:keepNext w:val="0"/>
        <w:keepLines w:val="0"/>
        <w:pageBreakBefore w:val="0"/>
        <w:widowControl/>
        <w:kinsoku w:val="0"/>
        <w:wordWrap/>
        <w:overflowPunct/>
        <w:topLinePunct w:val="0"/>
        <w:autoSpaceDE w:val="0"/>
        <w:autoSpaceDN w:val="0"/>
        <w:bidi w:val="0"/>
        <w:adjustRightInd w:val="0"/>
        <w:snapToGrid w:val="0"/>
        <w:spacing w:before="184" w:line="360" w:lineRule="auto"/>
        <w:ind w:right="1058" w:firstLine="400" w:firstLineChars="200"/>
        <w:textAlignment w:val="baseline"/>
        <w:rPr>
          <w:rFonts w:hint="eastAsia" w:ascii="宋体" w:hAnsi="宋体" w:eastAsia="宋体" w:cs="宋体"/>
          <w:sz w:val="21"/>
          <w:szCs w:val="21"/>
        </w:rPr>
      </w:pPr>
      <w:r>
        <w:rPr>
          <w:rFonts w:hint="eastAsia" w:ascii="宋体" w:hAnsi="宋体" w:eastAsia="宋体" w:cs="宋体"/>
          <w:spacing w:val="-5"/>
          <w:sz w:val="21"/>
          <w:szCs w:val="21"/>
        </w:rPr>
        <w:t>（1）组织机构证明：企业营业执照（具有相应的</w:t>
      </w:r>
      <w:r>
        <w:rPr>
          <w:rFonts w:hint="eastAsia" w:ascii="宋体" w:hAnsi="宋体" w:eastAsia="宋体" w:cs="宋体"/>
          <w:spacing w:val="-6"/>
          <w:sz w:val="21"/>
          <w:szCs w:val="21"/>
        </w:rPr>
        <w:t>经营范围）、税务登记证、</w:t>
      </w:r>
      <w:r>
        <w:rPr>
          <w:rFonts w:hint="eastAsia" w:ascii="宋体" w:hAnsi="宋体" w:eastAsia="宋体" w:cs="宋体"/>
          <w:spacing w:val="-3"/>
          <w:sz w:val="21"/>
          <w:szCs w:val="21"/>
        </w:rPr>
        <w:t>组织机构代码证（如已经办理三证合一的投标人，则只需提供合并后的企业营业</w:t>
      </w:r>
      <w:r>
        <w:rPr>
          <w:rFonts w:hint="eastAsia" w:ascii="宋体" w:hAnsi="宋体" w:eastAsia="宋体" w:cs="宋体"/>
          <w:spacing w:val="-25"/>
          <w:sz w:val="21"/>
          <w:szCs w:val="21"/>
        </w:rPr>
        <w:t>执照）。</w:t>
      </w:r>
    </w:p>
    <w:p w14:paraId="6E9DBC92">
      <w:pPr>
        <w:pStyle w:val="3"/>
        <w:keepNext w:val="0"/>
        <w:keepLines w:val="0"/>
        <w:pageBreakBefore w:val="0"/>
        <w:widowControl/>
        <w:tabs>
          <w:tab w:val="left" w:pos="7140"/>
        </w:tabs>
        <w:kinsoku w:val="0"/>
        <w:wordWrap/>
        <w:overflowPunct/>
        <w:topLinePunct w:val="0"/>
        <w:autoSpaceDE w:val="0"/>
        <w:autoSpaceDN w:val="0"/>
        <w:bidi w:val="0"/>
        <w:adjustRightInd w:val="0"/>
        <w:snapToGrid w:val="0"/>
        <w:spacing w:before="186" w:line="360" w:lineRule="auto"/>
        <w:ind w:right="356" w:rightChars="0"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（2）商业信誉：未被列入失信被执行人、重大税收违法案件当事人、政府</w:t>
      </w:r>
      <w:r>
        <w:rPr>
          <w:rFonts w:hint="eastAsia" w:ascii="宋体" w:hAnsi="宋体" w:eastAsia="宋体" w:cs="宋体"/>
          <w:spacing w:val="-11"/>
          <w:sz w:val="21"/>
          <w:szCs w:val="21"/>
        </w:rPr>
        <w:t>采 购 严 重 违 法 失</w:t>
      </w:r>
      <w:r>
        <w:rPr>
          <w:rFonts w:hint="eastAsia" w:ascii="宋体" w:hAnsi="宋体" w:eastAsia="宋体" w:cs="宋体"/>
          <w:spacing w:val="-14"/>
          <w:sz w:val="21"/>
          <w:szCs w:val="21"/>
        </w:rPr>
        <w:t xml:space="preserve"> </w:t>
      </w:r>
      <w:r>
        <w:rPr>
          <w:rFonts w:hint="eastAsia" w:ascii="宋体" w:hAnsi="宋体" w:eastAsia="宋体" w:cs="宋体"/>
          <w:spacing w:val="-11"/>
          <w:sz w:val="21"/>
          <w:szCs w:val="21"/>
        </w:rPr>
        <w:t>信 行</w:t>
      </w:r>
      <w:r>
        <w:rPr>
          <w:rFonts w:hint="eastAsia" w:ascii="宋体" w:hAnsi="宋体" w:eastAsia="宋体" w:cs="宋体"/>
          <w:spacing w:val="-12"/>
          <w:sz w:val="21"/>
          <w:szCs w:val="21"/>
        </w:rPr>
        <w:t xml:space="preserve"> </w:t>
      </w:r>
      <w:r>
        <w:rPr>
          <w:rFonts w:hint="eastAsia" w:ascii="宋体" w:hAnsi="宋体" w:eastAsia="宋体" w:cs="宋体"/>
          <w:spacing w:val="-11"/>
          <w:sz w:val="21"/>
          <w:szCs w:val="21"/>
        </w:rPr>
        <w:t>为</w:t>
      </w:r>
      <w:r>
        <w:rPr>
          <w:rFonts w:hint="eastAsia" w:ascii="宋体" w:hAnsi="宋体" w:eastAsia="宋体" w:cs="宋体"/>
          <w:spacing w:val="-16"/>
          <w:sz w:val="21"/>
          <w:szCs w:val="21"/>
        </w:rPr>
        <w:t xml:space="preserve"> </w:t>
      </w:r>
      <w:r>
        <w:rPr>
          <w:rFonts w:hint="eastAsia" w:ascii="宋体" w:hAnsi="宋体" w:eastAsia="宋体" w:cs="宋体"/>
          <w:spacing w:val="-11"/>
          <w:sz w:val="21"/>
          <w:szCs w:val="21"/>
        </w:rPr>
        <w:t>记</w:t>
      </w:r>
      <w:r>
        <w:rPr>
          <w:rFonts w:hint="eastAsia" w:ascii="宋体" w:hAnsi="宋体" w:eastAsia="宋体" w:cs="宋体"/>
          <w:spacing w:val="-13"/>
          <w:sz w:val="21"/>
          <w:szCs w:val="21"/>
        </w:rPr>
        <w:t xml:space="preserve"> </w:t>
      </w:r>
      <w:r>
        <w:rPr>
          <w:rFonts w:hint="eastAsia" w:ascii="宋体" w:hAnsi="宋体" w:eastAsia="宋体" w:cs="宋体"/>
          <w:spacing w:val="-11"/>
          <w:sz w:val="21"/>
          <w:szCs w:val="21"/>
        </w:rPr>
        <w:t>录</w:t>
      </w:r>
      <w:r>
        <w:rPr>
          <w:rFonts w:hint="eastAsia" w:ascii="宋体" w:hAnsi="宋体" w:eastAsia="宋体" w:cs="宋体"/>
          <w:spacing w:val="-12"/>
          <w:sz w:val="21"/>
          <w:szCs w:val="21"/>
        </w:rPr>
        <w:t xml:space="preserve"> </w:t>
      </w:r>
      <w:r>
        <w:rPr>
          <w:rFonts w:hint="eastAsia" w:ascii="宋体" w:hAnsi="宋体" w:eastAsia="宋体" w:cs="宋体"/>
          <w:spacing w:val="-11"/>
          <w:sz w:val="21"/>
          <w:szCs w:val="21"/>
        </w:rPr>
        <w:t>名</w:t>
      </w:r>
      <w:r>
        <w:rPr>
          <w:rFonts w:hint="eastAsia" w:ascii="宋体" w:hAnsi="宋体" w:eastAsia="宋体" w:cs="宋体"/>
          <w:spacing w:val="-13"/>
          <w:sz w:val="21"/>
          <w:szCs w:val="21"/>
        </w:rPr>
        <w:t xml:space="preserve"> </w:t>
      </w:r>
      <w:r>
        <w:rPr>
          <w:rFonts w:hint="eastAsia" w:ascii="宋体" w:hAnsi="宋体" w:eastAsia="宋体" w:cs="宋体"/>
          <w:spacing w:val="-11"/>
          <w:sz w:val="21"/>
          <w:szCs w:val="21"/>
        </w:rPr>
        <w:t>单 ， 以 在</w:t>
      </w:r>
      <w:r>
        <w:rPr>
          <w:rFonts w:hint="eastAsia" w:ascii="宋体" w:hAnsi="宋体" w:eastAsia="宋体" w:cs="宋体"/>
          <w:spacing w:val="-26"/>
          <w:sz w:val="21"/>
          <w:szCs w:val="21"/>
        </w:rPr>
        <w:t xml:space="preserve"> </w:t>
      </w:r>
      <w:r>
        <w:rPr>
          <w:rFonts w:hint="eastAsia" w:ascii="宋体" w:hAnsi="宋体" w:eastAsia="宋体" w:cs="宋体"/>
          <w:spacing w:val="-11"/>
          <w:sz w:val="21"/>
          <w:szCs w:val="21"/>
        </w:rPr>
        <w:t>“ 信 用 中 国 ”</w:t>
      </w:r>
      <w:r>
        <w:rPr>
          <w:rFonts w:hint="eastAsia" w:ascii="宋体" w:hAnsi="宋体" w:eastAsia="宋体" w:cs="宋体"/>
          <w:spacing w:val="-28"/>
          <w:sz w:val="21"/>
          <w:szCs w:val="21"/>
        </w:rPr>
        <w:t xml:space="preserve"> </w:t>
      </w:r>
      <w:r>
        <w:rPr>
          <w:rFonts w:hint="eastAsia" w:ascii="宋体" w:hAnsi="宋体" w:eastAsia="宋体" w:cs="宋体"/>
          <w:spacing w:val="-11"/>
          <w:sz w:val="21"/>
          <w:szCs w:val="21"/>
        </w:rPr>
        <w:t>网 站</w:t>
      </w:r>
      <w:r>
        <w:rPr>
          <w:rFonts w:hint="eastAsia" w:ascii="宋体" w:hAnsi="宋体" w:eastAsia="宋体" w:cs="宋体"/>
          <w:sz w:val="21"/>
          <w:szCs w:val="21"/>
        </w:rPr>
        <w:t>（</w:t>
      </w:r>
      <w:r>
        <w:rPr>
          <w:rFonts w:hint="eastAsia" w:cs="宋体"/>
          <w:sz w:val="21"/>
          <w:szCs w:val="21"/>
          <w:lang w:val="en-US" w:eastAsia="zh-CN"/>
        </w:rPr>
        <w:t xml:space="preserve">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"https://www.creditchina.gov.cn" </w:instrText>
      </w:r>
      <w:r>
        <w:rPr>
          <w:rFonts w:hint="eastAsia" w:ascii="宋体" w:hAnsi="宋体" w:eastAsia="宋体" w:cs="宋体"/>
          <w:sz w:val="21"/>
          <w:szCs w:val="21"/>
        </w:rPr>
        <w:fldChar w:fldCharType="separate"/>
      </w:r>
      <w:r>
        <w:rPr>
          <w:rFonts w:hint="eastAsia" w:ascii="宋体" w:hAnsi="宋体" w:eastAsia="宋体" w:cs="宋体"/>
          <w:sz w:val="21"/>
          <w:szCs w:val="21"/>
        </w:rPr>
        <w:t>www.creditchina.gov.cn</w:t>
      </w:r>
      <w:r>
        <w:rPr>
          <w:rFonts w:hint="eastAsia" w:ascii="宋体" w:hAnsi="宋体" w:eastAsia="宋体" w:cs="宋体"/>
          <w:sz w:val="21"/>
          <w:szCs w:val="21"/>
        </w:rPr>
        <w:fldChar w:fldCharType="end"/>
      </w:r>
      <w:r>
        <w:rPr>
          <w:rFonts w:hint="eastAsia" w:ascii="宋体" w:hAnsi="宋体" w:eastAsia="宋体" w:cs="宋体"/>
          <w:sz w:val="21"/>
          <w:szCs w:val="21"/>
        </w:rPr>
        <w:t>）和中国政府采购网（</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"https://www.ccgp.gov.cn" </w:instrText>
      </w:r>
      <w:r>
        <w:rPr>
          <w:rFonts w:hint="eastAsia" w:ascii="宋体" w:hAnsi="宋体" w:eastAsia="宋体" w:cs="宋体"/>
          <w:sz w:val="21"/>
          <w:szCs w:val="21"/>
        </w:rPr>
        <w:fldChar w:fldCharType="separate"/>
      </w:r>
      <w:r>
        <w:rPr>
          <w:rFonts w:hint="eastAsia" w:ascii="宋体" w:hAnsi="宋体" w:eastAsia="宋体" w:cs="宋体"/>
          <w:sz w:val="21"/>
          <w:szCs w:val="21"/>
        </w:rPr>
        <w:t>www.ccgp.gov.cn</w:t>
      </w:r>
      <w:r>
        <w:rPr>
          <w:rFonts w:hint="eastAsia" w:ascii="宋体" w:hAnsi="宋体" w:eastAsia="宋体" w:cs="宋体"/>
          <w:sz w:val="21"/>
          <w:szCs w:val="21"/>
        </w:rPr>
        <w:fldChar w:fldCharType="end"/>
      </w:r>
      <w:r>
        <w:rPr>
          <w:rFonts w:hint="eastAsia" w:ascii="宋体" w:hAnsi="宋体" w:eastAsia="宋体" w:cs="宋体"/>
          <w:sz w:val="21"/>
          <w:szCs w:val="21"/>
        </w:rPr>
        <w:t>）查询供应</w:t>
      </w:r>
      <w:r>
        <w:rPr>
          <w:rFonts w:hint="eastAsia" w:ascii="宋体" w:hAnsi="宋体" w:eastAsia="宋体" w:cs="宋体"/>
          <w:spacing w:val="-3"/>
          <w:sz w:val="21"/>
          <w:szCs w:val="21"/>
        </w:rPr>
        <w:t>商信用记录的系统截图为准。凡被列入失信被执行人、税收违法黑名单、政府采购严重违法失信行为记录名单及其他不符合《中华人民共和国政府采购法》第二</w:t>
      </w:r>
      <w:r>
        <w:rPr>
          <w:rFonts w:hint="eastAsia" w:ascii="宋体" w:hAnsi="宋体" w:eastAsia="宋体" w:cs="宋体"/>
          <w:spacing w:val="-1"/>
          <w:sz w:val="21"/>
          <w:szCs w:val="21"/>
        </w:rPr>
        <w:t>十二条规定条件的供应商，应当拒绝其参与政府采购活动。</w:t>
      </w:r>
    </w:p>
    <w:p w14:paraId="4E5877A9">
      <w:pPr>
        <w:pStyle w:val="3"/>
        <w:keepNext w:val="0"/>
        <w:keepLines w:val="0"/>
        <w:pageBreakBefore w:val="0"/>
        <w:widowControl/>
        <w:kinsoku w:val="0"/>
        <w:wordWrap/>
        <w:overflowPunct/>
        <w:topLinePunct w:val="0"/>
        <w:autoSpaceDE w:val="0"/>
        <w:autoSpaceDN w:val="0"/>
        <w:bidi w:val="0"/>
        <w:adjustRightInd w:val="0"/>
        <w:snapToGrid w:val="0"/>
        <w:spacing w:before="184" w:line="360" w:lineRule="auto"/>
        <w:ind w:right="1114"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（3）单位负责人为同一人或者存在直接控股、管理关系的不同供应商，不</w:t>
      </w:r>
      <w:r>
        <w:rPr>
          <w:rFonts w:hint="eastAsia" w:ascii="宋体" w:hAnsi="宋体" w:eastAsia="宋体" w:cs="宋体"/>
          <w:spacing w:val="-1"/>
          <w:sz w:val="21"/>
          <w:szCs w:val="21"/>
        </w:rPr>
        <w:t>得参加同一合同项下的采购活动。</w:t>
      </w:r>
    </w:p>
    <w:p w14:paraId="61CBE1D9">
      <w:pPr>
        <w:pStyle w:val="3"/>
        <w:keepNext w:val="0"/>
        <w:keepLines w:val="0"/>
        <w:pageBreakBefore w:val="0"/>
        <w:widowControl/>
        <w:kinsoku w:val="0"/>
        <w:wordWrap/>
        <w:overflowPunct/>
        <w:topLinePunct w:val="0"/>
        <w:autoSpaceDE w:val="0"/>
        <w:autoSpaceDN w:val="0"/>
        <w:bidi w:val="0"/>
        <w:adjustRightInd w:val="0"/>
        <w:snapToGrid w:val="0"/>
        <w:spacing w:before="183" w:line="360" w:lineRule="auto"/>
        <w:ind w:right="1112"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（4）履行合同能力：具有同类项目的经验，并具备履行合同所必需的主要</w:t>
      </w:r>
      <w:r>
        <w:rPr>
          <w:rFonts w:hint="eastAsia" w:ascii="宋体" w:hAnsi="宋体" w:eastAsia="宋体" w:cs="宋体"/>
          <w:spacing w:val="-1"/>
          <w:sz w:val="21"/>
          <w:szCs w:val="21"/>
        </w:rPr>
        <w:t>设备设施、专业技术人员和能力。</w:t>
      </w:r>
    </w:p>
    <w:p w14:paraId="20F3AE46">
      <w:pPr>
        <w:pStyle w:val="3"/>
        <w:spacing w:before="122" w:line="360" w:lineRule="auto"/>
        <w:ind w:firstLine="412" w:firstLineChars="200"/>
        <w:rPr>
          <w:rFonts w:hint="eastAsia" w:ascii="宋体" w:hAnsi="宋体" w:eastAsia="宋体" w:cs="宋体"/>
          <w:sz w:val="21"/>
          <w:szCs w:val="21"/>
        </w:rPr>
      </w:pPr>
      <w:r>
        <w:rPr>
          <w:rFonts w:hint="eastAsia" w:ascii="宋体" w:hAnsi="宋体" w:eastAsia="宋体" w:cs="宋体"/>
          <w:spacing w:val="-2"/>
          <w:sz w:val="21"/>
          <w:szCs w:val="21"/>
        </w:rPr>
        <w:t>（5）本项目不接受联合体报名。</w:t>
      </w:r>
    </w:p>
    <w:p w14:paraId="1A7CF9E9">
      <w:pPr>
        <w:pStyle w:val="3"/>
        <w:spacing w:before="184" w:line="360" w:lineRule="auto"/>
        <w:ind w:left="503"/>
        <w:rPr>
          <w:rFonts w:hint="eastAsia" w:ascii="宋体" w:hAnsi="宋体" w:eastAsia="宋体" w:cs="宋体"/>
          <w:sz w:val="21"/>
          <w:szCs w:val="21"/>
        </w:rPr>
      </w:pPr>
      <w:r>
        <w:rPr>
          <w:rFonts w:hint="eastAsia" w:ascii="宋体" w:hAnsi="宋体" w:eastAsia="宋体" w:cs="宋体"/>
          <w:b/>
          <w:bCs/>
          <w:spacing w:val="-3"/>
          <w:sz w:val="21"/>
          <w:szCs w:val="21"/>
        </w:rPr>
        <w:t>三、磋商文件的获取</w:t>
      </w:r>
    </w:p>
    <w:p w14:paraId="641AAB71">
      <w:pPr>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获取时间：</w:t>
      </w:r>
      <w:r>
        <w:rPr>
          <w:rFonts w:hint="eastAsia" w:ascii="宋体" w:hAnsi="宋体" w:eastAsia="宋体" w:cs="宋体"/>
          <w:b/>
          <w:bCs/>
          <w:sz w:val="21"/>
          <w:szCs w:val="21"/>
          <w:highlight w:val="none"/>
          <w:lang w:val="en-US" w:eastAsia="zh-CN"/>
        </w:rPr>
        <w:t>2026 年10月23日</w:t>
      </w:r>
      <w:r>
        <w:rPr>
          <w:rFonts w:hint="eastAsia" w:ascii="宋体" w:hAnsi="宋体" w:eastAsia="宋体" w:cs="宋体"/>
          <w:sz w:val="21"/>
          <w:szCs w:val="21"/>
          <w:highlight w:val="none"/>
          <w:lang w:val="en-US" w:eastAsia="zh-CN"/>
        </w:rPr>
        <w:t>09时00分到</w:t>
      </w:r>
      <w:r>
        <w:rPr>
          <w:rFonts w:hint="eastAsia" w:ascii="宋体" w:hAnsi="宋体" w:eastAsia="宋体" w:cs="宋体"/>
          <w:b/>
          <w:bCs/>
          <w:sz w:val="21"/>
          <w:szCs w:val="21"/>
          <w:highlight w:val="none"/>
          <w:lang w:val="en-US" w:eastAsia="zh-CN"/>
        </w:rPr>
        <w:t>2026 年10月29日</w:t>
      </w:r>
      <w:r>
        <w:rPr>
          <w:rFonts w:hint="eastAsia" w:ascii="宋体" w:hAnsi="宋体" w:eastAsia="宋体" w:cs="宋体"/>
          <w:sz w:val="21"/>
          <w:szCs w:val="21"/>
          <w:highlight w:val="none"/>
          <w:lang w:val="en-US" w:eastAsia="zh-CN"/>
        </w:rPr>
        <w:t>16时00分</w:t>
      </w:r>
    </w:p>
    <w:p w14:paraId="31B2B786">
      <w:pPr>
        <w:pStyle w:val="3"/>
        <w:spacing w:before="182" w:line="360" w:lineRule="auto"/>
        <w:ind w:firstLine="420" w:firstLineChars="200"/>
        <w:jc w:val="both"/>
        <w:rPr>
          <w:rFonts w:hint="eastAsia" w:ascii="宋体" w:hAnsi="宋体" w:eastAsia="宋体" w:cs="宋体"/>
          <w:sz w:val="21"/>
          <w:szCs w:val="21"/>
        </w:rPr>
      </w:pPr>
      <w:r>
        <w:rPr>
          <w:rFonts w:hint="eastAsia" w:ascii="宋体" w:hAnsi="宋体" w:eastAsia="宋体" w:cs="宋体"/>
          <w:sz w:val="21"/>
          <w:szCs w:val="21"/>
          <w:highlight w:val="none"/>
          <w:lang w:val="en-US" w:eastAsia="zh-CN"/>
        </w:rPr>
        <w:t>获取方式：邮箱发送有效报名资料转账购买或线下购买，售价：</w:t>
      </w:r>
      <w:r>
        <w:rPr>
          <w:rFonts w:hint="eastAsia" w:ascii="宋体" w:hAnsi="宋体" w:eastAsia="宋体" w:cs="宋体"/>
          <w:b/>
          <w:bCs/>
          <w:sz w:val="21"/>
          <w:szCs w:val="21"/>
          <w:highlight w:val="none"/>
          <w:lang w:val="en-US" w:eastAsia="zh-CN"/>
        </w:rPr>
        <w:t>¥ 600</w:t>
      </w:r>
      <w:r>
        <w:rPr>
          <w:rFonts w:hint="eastAsia" w:ascii="宋体" w:hAnsi="宋体" w:eastAsia="宋体" w:cs="宋体"/>
          <w:sz w:val="21"/>
          <w:szCs w:val="21"/>
          <w:highlight w:val="none"/>
          <w:lang w:val="en-US" w:eastAsia="zh-CN"/>
        </w:rPr>
        <w:t>元/包件（售后不退）</w:t>
      </w:r>
    </w:p>
    <w:p w14:paraId="65681C8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（1）邮箱报名需将以下清晰的材料发送至18606158310@163.com邮箱：</w:t>
      </w:r>
    </w:p>
    <w:p w14:paraId="56DCCAB1">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1）营业执照（或事业单位、社会团体法人证书）原件扫描件；</w:t>
      </w:r>
    </w:p>
    <w:p w14:paraId="6600A03C">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2）报名信息（准确的单位名称、纳税人登记号、联系人姓名、手机）；</w:t>
      </w:r>
    </w:p>
    <w:p w14:paraId="345FE08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3）转账凭证（</w:t>
      </w:r>
      <w:r>
        <w:rPr>
          <w:rFonts w:hint="eastAsia" w:ascii="宋体" w:hAnsi="宋体" w:eastAsia="宋体" w:cs="宋体"/>
          <w:color w:val="auto"/>
          <w:kern w:val="2"/>
          <w:sz w:val="21"/>
          <w:szCs w:val="21"/>
          <w:highlight w:val="none"/>
          <w:lang w:val="zh-CN"/>
        </w:rPr>
        <w:t>收款单位：上海健生教育配置招标有限公司</w:t>
      </w: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lang w:val="zh-CN"/>
        </w:rPr>
        <w:t>开户银行：交通银行西藏南路支行</w:t>
      </w: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lang w:val="zh-CN"/>
        </w:rPr>
        <w:t>帐号：310066564018150027780，</w:t>
      </w:r>
      <w:r>
        <w:rPr>
          <w:rFonts w:hint="eastAsia" w:ascii="宋体" w:hAnsi="宋体" w:eastAsia="宋体" w:cs="宋体"/>
          <w:b w:val="0"/>
          <w:bCs w:val="0"/>
          <w:sz w:val="21"/>
          <w:szCs w:val="21"/>
          <w:highlight w:val="none"/>
          <w:lang w:val="en-US" w:eastAsia="zh-CN"/>
        </w:rPr>
        <w:t>转账</w:t>
      </w:r>
      <w:r>
        <w:rPr>
          <w:rFonts w:hint="eastAsia" w:ascii="宋体" w:hAnsi="宋体" w:eastAsia="宋体" w:cs="宋体"/>
          <w:b w:val="0"/>
          <w:bCs w:val="0"/>
          <w:sz w:val="21"/>
          <w:szCs w:val="21"/>
          <w:highlight w:val="none"/>
          <w:lang w:val="zh-CN"/>
        </w:rPr>
        <w:t>注明：</w:t>
      </w:r>
      <w:r>
        <w:rPr>
          <w:rFonts w:hint="eastAsia" w:ascii="宋体" w:hAnsi="宋体" w:eastAsia="宋体" w:cs="宋体"/>
          <w:color w:val="auto"/>
          <w:kern w:val="2"/>
          <w:sz w:val="21"/>
          <w:szCs w:val="21"/>
          <w:highlight w:val="none"/>
          <w:lang w:val="zh-CN"/>
        </w:rPr>
        <w:t>“</w:t>
      </w:r>
      <w:r>
        <w:rPr>
          <w:rFonts w:hint="eastAsia" w:ascii="宋体" w:hAnsi="宋体" w:eastAsia="宋体" w:cs="宋体"/>
          <w:sz w:val="21"/>
          <w:szCs w:val="21"/>
          <w:highlight w:val="none"/>
          <w:lang w:val="en-US" w:eastAsia="zh-CN"/>
        </w:rPr>
        <w:t>JSCS26100924-N131</w:t>
      </w:r>
      <w:r>
        <w:rPr>
          <w:rFonts w:hint="eastAsia" w:ascii="宋体" w:hAnsi="宋体" w:eastAsia="宋体" w:cs="宋体"/>
          <w:color w:val="auto"/>
          <w:kern w:val="2"/>
          <w:sz w:val="21"/>
          <w:szCs w:val="21"/>
          <w:highlight w:val="none"/>
          <w:lang w:val="en-US" w:eastAsia="zh-CN"/>
        </w:rPr>
        <w:t xml:space="preserve"> 标书</w:t>
      </w:r>
      <w:r>
        <w:rPr>
          <w:rFonts w:hint="eastAsia" w:ascii="宋体" w:hAnsi="宋体" w:eastAsia="宋体" w:cs="宋体"/>
          <w:b w:val="0"/>
          <w:bCs w:val="0"/>
          <w:sz w:val="21"/>
          <w:szCs w:val="21"/>
          <w:highlight w:val="none"/>
          <w:lang w:val="en-US" w:eastAsia="zh-CN"/>
        </w:rPr>
        <w:t>费</w:t>
      </w:r>
      <w:r>
        <w:rPr>
          <w:rFonts w:hint="eastAsia" w:ascii="宋体" w:hAnsi="宋体" w:eastAsia="宋体" w:cs="宋体"/>
          <w:b w:val="0"/>
          <w:bCs w:val="0"/>
          <w:sz w:val="21"/>
          <w:szCs w:val="21"/>
          <w:highlight w:val="none"/>
          <w:lang w:val="zh-CN"/>
        </w:rPr>
        <w:t>”</w:t>
      </w:r>
      <w:r>
        <w:rPr>
          <w:rFonts w:hint="eastAsia" w:ascii="宋体" w:hAnsi="宋体" w:eastAsia="宋体" w:cs="宋体"/>
          <w:sz w:val="21"/>
          <w:szCs w:val="21"/>
          <w:highlight w:val="none"/>
          <w:lang w:val="en-US" w:eastAsia="zh-CN"/>
        </w:rPr>
        <w:t>）。</w:t>
      </w:r>
    </w:p>
    <w:p w14:paraId="4852C0CE">
      <w:pPr>
        <w:pStyle w:val="3"/>
        <w:keepNext w:val="0"/>
        <w:keepLines w:val="0"/>
        <w:pageBreakBefore w:val="0"/>
        <w:widowControl/>
        <w:kinsoku w:val="0"/>
        <w:wordWrap/>
        <w:overflowPunct/>
        <w:topLinePunct w:val="0"/>
        <w:autoSpaceDE w:val="0"/>
        <w:autoSpaceDN w:val="0"/>
        <w:bidi w:val="0"/>
        <w:adjustRightInd w:val="0"/>
        <w:snapToGrid w:val="0"/>
        <w:spacing w:before="3" w:line="360" w:lineRule="auto"/>
        <w:ind w:right="37" w:firstLine="388" w:firstLineChars="200"/>
        <w:jc w:val="both"/>
        <w:textAlignment w:val="baseline"/>
        <w:rPr>
          <w:rFonts w:hint="eastAsia" w:ascii="宋体" w:hAnsi="宋体" w:eastAsia="宋体" w:cs="宋体"/>
          <w:spacing w:val="-8"/>
          <w:sz w:val="21"/>
          <w:szCs w:val="21"/>
          <w:lang w:val="en-US" w:eastAsia="zh-CN"/>
        </w:rPr>
      </w:pPr>
      <w:r>
        <w:rPr>
          <w:rFonts w:hint="eastAsia" w:ascii="宋体" w:hAnsi="宋体" w:eastAsia="宋体" w:cs="宋体"/>
          <w:spacing w:val="-8"/>
          <w:sz w:val="21"/>
          <w:szCs w:val="21"/>
          <w:lang w:eastAsia="zh-CN"/>
        </w:rPr>
        <w:t>（</w:t>
      </w:r>
      <w:r>
        <w:rPr>
          <w:rFonts w:hint="eastAsia" w:ascii="宋体" w:hAnsi="宋体" w:eastAsia="宋体" w:cs="宋体"/>
          <w:spacing w:val="-8"/>
          <w:sz w:val="21"/>
          <w:szCs w:val="21"/>
          <w:lang w:val="en-US" w:eastAsia="zh-CN"/>
        </w:rPr>
        <w:t>2</w:t>
      </w:r>
      <w:r>
        <w:rPr>
          <w:rFonts w:hint="eastAsia" w:ascii="宋体" w:hAnsi="宋体" w:eastAsia="宋体" w:cs="宋体"/>
          <w:spacing w:val="-8"/>
          <w:sz w:val="21"/>
          <w:szCs w:val="21"/>
          <w:lang w:eastAsia="zh-CN"/>
        </w:rPr>
        <w:t>）</w:t>
      </w:r>
      <w:r>
        <w:rPr>
          <w:rFonts w:hint="eastAsia" w:ascii="宋体" w:hAnsi="宋体" w:eastAsia="宋体" w:cs="宋体"/>
          <w:spacing w:val="-8"/>
          <w:sz w:val="21"/>
          <w:szCs w:val="21"/>
          <w:lang w:val="en-US" w:eastAsia="zh-CN"/>
        </w:rPr>
        <w:t>线下报名地点：</w:t>
      </w:r>
      <w:r>
        <w:rPr>
          <w:rFonts w:hint="eastAsia" w:ascii="宋体" w:hAnsi="宋体" w:eastAsia="宋体" w:cs="宋体"/>
          <w:sz w:val="21"/>
          <w:szCs w:val="21"/>
          <w:highlight w:val="none"/>
        </w:rPr>
        <w:t>上海市</w:t>
      </w:r>
      <w:r>
        <w:rPr>
          <w:rFonts w:hint="eastAsia" w:ascii="宋体" w:hAnsi="宋体" w:eastAsia="宋体" w:cs="宋体"/>
          <w:sz w:val="21"/>
          <w:szCs w:val="21"/>
          <w:highlight w:val="none"/>
          <w:lang w:eastAsia="zh-CN"/>
        </w:rPr>
        <w:t>黄浦区</w:t>
      </w:r>
      <w:r>
        <w:rPr>
          <w:rFonts w:hint="eastAsia" w:ascii="宋体" w:hAnsi="宋体" w:eastAsia="宋体" w:cs="宋体"/>
          <w:sz w:val="21"/>
          <w:szCs w:val="21"/>
          <w:highlight w:val="none"/>
          <w:lang w:val="en-US" w:eastAsia="zh-CN"/>
        </w:rPr>
        <w:t>瞿溪路350号一楼</w:t>
      </w:r>
    </w:p>
    <w:p w14:paraId="5CB95E3B">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388" w:firstLineChars="200"/>
        <w:jc w:val="left"/>
        <w:textAlignment w:val="baseline"/>
        <w:rPr>
          <w:rFonts w:hint="eastAsia" w:ascii="宋体" w:hAnsi="宋体" w:eastAsia="宋体" w:cs="宋体"/>
          <w:spacing w:val="-8"/>
          <w:sz w:val="21"/>
          <w:szCs w:val="21"/>
          <w:lang w:val="en-US" w:eastAsia="zh-CN"/>
        </w:rPr>
      </w:pPr>
      <w:r>
        <w:rPr>
          <w:rFonts w:hint="eastAsia" w:ascii="宋体" w:hAnsi="宋体" w:eastAsia="宋体" w:cs="宋体"/>
          <w:spacing w:val="-8"/>
          <w:sz w:val="21"/>
          <w:szCs w:val="21"/>
          <w:lang w:val="en-US" w:eastAsia="zh-CN"/>
        </w:rPr>
        <w:t>报名时需提交：</w:t>
      </w:r>
    </w:p>
    <w:p w14:paraId="61D3DF6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1）营业执照（或事业单位、社会团体法人证书）原件扫描件；</w:t>
      </w:r>
    </w:p>
    <w:p w14:paraId="4D16B0F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20" w:firstLineChars="200"/>
        <w:jc w:val="left"/>
        <w:textAlignment w:val="baseline"/>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2）报名信息（准确的单位名称、纳税人登记号、联系人姓名、手机）；</w:t>
      </w:r>
    </w:p>
    <w:p w14:paraId="52EC46C8">
      <w:pPr>
        <w:pStyle w:val="3"/>
        <w:keepNext w:val="0"/>
        <w:keepLines w:val="0"/>
        <w:pageBreakBefore w:val="0"/>
        <w:widowControl/>
        <w:kinsoku w:val="0"/>
        <w:wordWrap/>
        <w:overflowPunct/>
        <w:topLinePunct w:val="0"/>
        <w:autoSpaceDE w:val="0"/>
        <w:autoSpaceDN w:val="0"/>
        <w:bidi w:val="0"/>
        <w:adjustRightInd w:val="0"/>
        <w:snapToGrid w:val="0"/>
        <w:spacing w:before="3" w:line="360" w:lineRule="auto"/>
        <w:ind w:right="37" w:firstLine="420" w:firstLineChars="200"/>
        <w:jc w:val="both"/>
        <w:textAlignment w:val="baseline"/>
        <w:rPr>
          <w:rFonts w:hint="eastAsia" w:ascii="宋体" w:hAnsi="宋体" w:eastAsia="宋体" w:cs="宋体"/>
          <w:spacing w:val="-8"/>
          <w:sz w:val="21"/>
          <w:szCs w:val="21"/>
          <w:lang w:val="en-US" w:eastAsia="zh-CN"/>
        </w:rPr>
      </w:pPr>
      <w:r>
        <w:rPr>
          <w:rFonts w:hint="eastAsia" w:ascii="宋体" w:hAnsi="宋体" w:eastAsia="宋体" w:cs="宋体"/>
          <w:sz w:val="21"/>
          <w:szCs w:val="21"/>
          <w:highlight w:val="none"/>
          <w:lang w:val="en-US" w:eastAsia="zh-CN"/>
        </w:rPr>
        <w:t>3）转账凭证（</w:t>
      </w:r>
      <w:r>
        <w:rPr>
          <w:rFonts w:hint="eastAsia" w:ascii="宋体" w:hAnsi="宋体" w:eastAsia="宋体" w:cs="宋体"/>
          <w:color w:val="auto"/>
          <w:kern w:val="2"/>
          <w:sz w:val="21"/>
          <w:szCs w:val="21"/>
          <w:highlight w:val="none"/>
          <w:lang w:val="zh-CN"/>
        </w:rPr>
        <w:t>收款单位：上海健生教育配置招标有限公司</w:t>
      </w: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lang w:val="zh-CN"/>
        </w:rPr>
        <w:t>开户银行：交通银行西藏南路支行</w:t>
      </w:r>
      <w:r>
        <w:rPr>
          <w:rFonts w:hint="eastAsia" w:ascii="宋体" w:hAnsi="宋体" w:eastAsia="宋体" w:cs="宋体"/>
          <w:color w:val="auto"/>
          <w:kern w:val="2"/>
          <w:sz w:val="21"/>
          <w:szCs w:val="21"/>
          <w:highlight w:val="none"/>
        </w:rPr>
        <w:t>；</w:t>
      </w:r>
      <w:r>
        <w:rPr>
          <w:rFonts w:hint="eastAsia" w:ascii="宋体" w:hAnsi="宋体" w:eastAsia="宋体" w:cs="宋体"/>
          <w:color w:val="auto"/>
          <w:kern w:val="2"/>
          <w:sz w:val="21"/>
          <w:szCs w:val="21"/>
          <w:highlight w:val="none"/>
          <w:lang w:val="zh-CN"/>
        </w:rPr>
        <w:t>帐号：310066564018150027780，</w:t>
      </w:r>
      <w:r>
        <w:rPr>
          <w:rFonts w:hint="eastAsia" w:ascii="宋体" w:hAnsi="宋体" w:eastAsia="宋体" w:cs="宋体"/>
          <w:b w:val="0"/>
          <w:bCs w:val="0"/>
          <w:sz w:val="21"/>
          <w:szCs w:val="21"/>
          <w:highlight w:val="none"/>
          <w:lang w:val="en-US" w:eastAsia="zh-CN"/>
        </w:rPr>
        <w:t>转账</w:t>
      </w:r>
      <w:r>
        <w:rPr>
          <w:rFonts w:hint="eastAsia" w:ascii="宋体" w:hAnsi="宋体" w:eastAsia="宋体" w:cs="宋体"/>
          <w:b w:val="0"/>
          <w:bCs w:val="0"/>
          <w:sz w:val="21"/>
          <w:szCs w:val="21"/>
          <w:highlight w:val="none"/>
          <w:lang w:val="zh-CN"/>
        </w:rPr>
        <w:t>注明：</w:t>
      </w:r>
      <w:r>
        <w:rPr>
          <w:rFonts w:hint="eastAsia" w:ascii="宋体" w:hAnsi="宋体" w:eastAsia="宋体" w:cs="宋体"/>
          <w:color w:val="auto"/>
          <w:kern w:val="2"/>
          <w:sz w:val="21"/>
          <w:szCs w:val="21"/>
          <w:highlight w:val="none"/>
          <w:lang w:val="zh-CN"/>
        </w:rPr>
        <w:t>“</w:t>
      </w:r>
      <w:r>
        <w:rPr>
          <w:rFonts w:hint="eastAsia" w:cs="宋体"/>
          <w:sz w:val="21"/>
          <w:szCs w:val="21"/>
          <w:highlight w:val="none"/>
          <w:lang w:val="en-US" w:eastAsia="zh-CN"/>
        </w:rPr>
        <w:t>JSCS26100924-N131</w:t>
      </w:r>
      <w:r>
        <w:rPr>
          <w:rFonts w:hint="eastAsia" w:ascii="宋体" w:hAnsi="宋体" w:eastAsia="宋体" w:cs="宋体"/>
          <w:color w:val="auto"/>
          <w:kern w:val="2"/>
          <w:sz w:val="21"/>
          <w:szCs w:val="21"/>
          <w:highlight w:val="none"/>
          <w:lang w:val="en-US" w:eastAsia="zh-CN"/>
        </w:rPr>
        <w:t xml:space="preserve"> 标书</w:t>
      </w:r>
      <w:r>
        <w:rPr>
          <w:rFonts w:hint="eastAsia" w:ascii="宋体" w:hAnsi="宋体" w:eastAsia="宋体" w:cs="宋体"/>
          <w:b w:val="0"/>
          <w:bCs w:val="0"/>
          <w:sz w:val="21"/>
          <w:szCs w:val="21"/>
          <w:highlight w:val="none"/>
          <w:lang w:val="en-US" w:eastAsia="zh-CN"/>
        </w:rPr>
        <w:t>费</w:t>
      </w:r>
      <w:r>
        <w:rPr>
          <w:rFonts w:hint="eastAsia" w:ascii="宋体" w:hAnsi="宋体" w:eastAsia="宋体" w:cs="宋体"/>
          <w:b w:val="0"/>
          <w:bCs w:val="0"/>
          <w:sz w:val="21"/>
          <w:szCs w:val="21"/>
          <w:highlight w:val="none"/>
          <w:lang w:val="zh-CN"/>
        </w:rPr>
        <w:t>”</w:t>
      </w:r>
      <w:r>
        <w:rPr>
          <w:rFonts w:hint="eastAsia" w:ascii="宋体" w:hAnsi="宋体" w:eastAsia="宋体" w:cs="宋体"/>
          <w:sz w:val="21"/>
          <w:szCs w:val="21"/>
          <w:highlight w:val="none"/>
          <w:lang w:val="en-US" w:eastAsia="zh-CN"/>
        </w:rPr>
        <w:t>）。</w:t>
      </w:r>
    </w:p>
    <w:p w14:paraId="0CBA4729">
      <w:pPr>
        <w:pStyle w:val="3"/>
        <w:spacing w:before="3" w:line="360" w:lineRule="auto"/>
        <w:ind w:left="23" w:right="37" w:firstLine="480"/>
        <w:jc w:val="both"/>
        <w:rPr>
          <w:rFonts w:hint="eastAsia" w:ascii="宋体" w:hAnsi="宋体" w:eastAsia="宋体" w:cs="宋体"/>
          <w:sz w:val="21"/>
          <w:szCs w:val="21"/>
        </w:rPr>
      </w:pPr>
      <w:r>
        <w:rPr>
          <w:rFonts w:hint="eastAsia" w:ascii="宋体" w:hAnsi="宋体" w:eastAsia="宋体" w:cs="宋体"/>
          <w:spacing w:val="-8"/>
          <w:sz w:val="21"/>
          <w:szCs w:val="21"/>
        </w:rPr>
        <w:t>注：磋商供应商须保证所提交的文件、资料的内容真</w:t>
      </w:r>
      <w:r>
        <w:rPr>
          <w:rFonts w:hint="eastAsia" w:ascii="宋体" w:hAnsi="宋体" w:eastAsia="宋体" w:cs="宋体"/>
          <w:spacing w:val="-9"/>
          <w:sz w:val="21"/>
          <w:szCs w:val="21"/>
        </w:rPr>
        <w:t>实、完整、有效、一致，</w:t>
      </w:r>
      <w:r>
        <w:rPr>
          <w:rFonts w:hint="eastAsia" w:ascii="宋体" w:hAnsi="宋体" w:eastAsia="宋体" w:cs="宋体"/>
          <w:spacing w:val="-3"/>
          <w:sz w:val="21"/>
          <w:szCs w:val="21"/>
        </w:rPr>
        <w:t>如递交虚假的响应文件、资料或填写信息错误导致的与本项目有关的任何损失由</w:t>
      </w:r>
      <w:r>
        <w:rPr>
          <w:rFonts w:hint="eastAsia" w:ascii="宋体" w:hAnsi="宋体" w:eastAsia="宋体" w:cs="宋体"/>
          <w:spacing w:val="-2"/>
          <w:sz w:val="21"/>
          <w:szCs w:val="21"/>
        </w:rPr>
        <w:t>供应商承担。</w:t>
      </w:r>
    </w:p>
    <w:p w14:paraId="31D5FA52">
      <w:pPr>
        <w:pStyle w:val="3"/>
        <w:spacing w:line="360" w:lineRule="auto"/>
        <w:ind w:left="526"/>
        <w:rPr>
          <w:rFonts w:hint="eastAsia" w:ascii="宋体" w:hAnsi="宋体" w:eastAsia="宋体" w:cs="宋体"/>
          <w:sz w:val="21"/>
          <w:szCs w:val="21"/>
        </w:rPr>
      </w:pPr>
      <w:r>
        <w:rPr>
          <w:rFonts w:hint="eastAsia" w:ascii="宋体" w:hAnsi="宋体" w:eastAsia="宋体" w:cs="宋体"/>
          <w:b/>
          <w:bCs/>
          <w:spacing w:val="-4"/>
          <w:sz w:val="21"/>
          <w:szCs w:val="21"/>
        </w:rPr>
        <w:t>四、磋商响应截止时间和磋商时间</w:t>
      </w:r>
    </w:p>
    <w:p w14:paraId="2FE358E5">
      <w:pPr>
        <w:pStyle w:val="3"/>
        <w:spacing w:before="181" w:line="360" w:lineRule="auto"/>
        <w:ind w:left="26" w:right="99" w:firstLine="494"/>
        <w:rPr>
          <w:rFonts w:hint="eastAsia" w:ascii="宋体" w:hAnsi="宋体" w:eastAsia="宋体" w:cs="宋体"/>
          <w:sz w:val="21"/>
          <w:szCs w:val="21"/>
        </w:rPr>
      </w:pPr>
      <w:r>
        <w:rPr>
          <w:rFonts w:hint="eastAsia" w:ascii="宋体" w:hAnsi="宋体" w:eastAsia="宋体" w:cs="宋体"/>
          <w:spacing w:val="-7"/>
          <w:sz w:val="21"/>
          <w:szCs w:val="21"/>
        </w:rPr>
        <w:t>1.首次递交响应文件截止时间</w:t>
      </w:r>
      <w:r>
        <w:rPr>
          <w:rFonts w:hint="eastAsia" w:ascii="宋体" w:hAnsi="宋体" w:eastAsia="宋体" w:cs="宋体"/>
          <w:color w:val="auto"/>
          <w:kern w:val="2"/>
          <w:sz w:val="21"/>
          <w:szCs w:val="21"/>
          <w:highlight w:val="none"/>
          <w:lang w:val="zh-CN"/>
        </w:rPr>
        <w:t xml:space="preserve">：2026 年 </w:t>
      </w:r>
      <w:r>
        <w:rPr>
          <w:rFonts w:hint="eastAsia" w:cs="宋体"/>
          <w:color w:val="auto"/>
          <w:kern w:val="2"/>
          <w:sz w:val="21"/>
          <w:szCs w:val="21"/>
          <w:highlight w:val="none"/>
          <w:lang w:val="en-US" w:eastAsia="zh-CN"/>
        </w:rPr>
        <w:t>11</w:t>
      </w:r>
      <w:r>
        <w:rPr>
          <w:rFonts w:hint="eastAsia" w:ascii="宋体" w:hAnsi="宋体" w:eastAsia="宋体" w:cs="宋体"/>
          <w:color w:val="auto"/>
          <w:kern w:val="2"/>
          <w:sz w:val="21"/>
          <w:szCs w:val="21"/>
          <w:highlight w:val="none"/>
          <w:lang w:val="zh-CN"/>
        </w:rPr>
        <w:t>月</w:t>
      </w:r>
      <w:r>
        <w:rPr>
          <w:rFonts w:hint="eastAsia" w:cs="宋体"/>
          <w:color w:val="auto"/>
          <w:kern w:val="2"/>
          <w:sz w:val="21"/>
          <w:szCs w:val="21"/>
          <w:highlight w:val="none"/>
          <w:lang w:val="en-US" w:eastAsia="zh-CN"/>
        </w:rPr>
        <w:t xml:space="preserve"> 3</w:t>
      </w:r>
      <w:r>
        <w:rPr>
          <w:rFonts w:hint="eastAsia" w:ascii="宋体" w:hAnsi="宋体" w:eastAsia="宋体" w:cs="宋体"/>
          <w:color w:val="auto"/>
          <w:kern w:val="2"/>
          <w:sz w:val="21"/>
          <w:szCs w:val="21"/>
          <w:highlight w:val="none"/>
          <w:lang w:val="zh-CN"/>
        </w:rPr>
        <w:t xml:space="preserve">日 </w:t>
      </w:r>
      <w:r>
        <w:rPr>
          <w:rFonts w:hint="eastAsia" w:ascii="宋体" w:hAnsi="宋体" w:eastAsia="宋体" w:cs="宋体"/>
          <w:color w:val="auto"/>
          <w:kern w:val="2"/>
          <w:sz w:val="21"/>
          <w:szCs w:val="21"/>
          <w:highlight w:val="none"/>
          <w:lang w:val="en-US" w:eastAsia="zh-CN"/>
        </w:rPr>
        <w:t>1</w:t>
      </w:r>
      <w:r>
        <w:rPr>
          <w:rFonts w:hint="eastAsia" w:cs="宋体"/>
          <w:color w:val="auto"/>
          <w:kern w:val="2"/>
          <w:sz w:val="21"/>
          <w:szCs w:val="21"/>
          <w:highlight w:val="none"/>
          <w:lang w:val="en-US" w:eastAsia="zh-CN"/>
        </w:rPr>
        <w:t>6</w:t>
      </w:r>
      <w:r>
        <w:rPr>
          <w:rFonts w:hint="eastAsia" w:ascii="宋体" w:hAnsi="宋体" w:eastAsia="宋体" w:cs="宋体"/>
          <w:color w:val="auto"/>
          <w:kern w:val="2"/>
          <w:sz w:val="21"/>
          <w:szCs w:val="21"/>
          <w:highlight w:val="none"/>
          <w:lang w:val="zh-CN"/>
        </w:rPr>
        <w:t>:</w:t>
      </w:r>
      <w:r>
        <w:rPr>
          <w:rFonts w:hint="eastAsia" w:cs="宋体"/>
          <w:color w:val="auto"/>
          <w:kern w:val="2"/>
          <w:sz w:val="21"/>
          <w:szCs w:val="21"/>
          <w:highlight w:val="none"/>
          <w:lang w:val="en-US" w:eastAsia="zh-CN"/>
        </w:rPr>
        <w:t>00</w:t>
      </w:r>
      <w:r>
        <w:rPr>
          <w:rFonts w:hint="eastAsia" w:ascii="宋体" w:hAnsi="宋体" w:eastAsia="宋体" w:cs="宋体"/>
          <w:color w:val="auto"/>
          <w:kern w:val="2"/>
          <w:sz w:val="21"/>
          <w:szCs w:val="21"/>
          <w:highlight w:val="none"/>
          <w:lang w:val="zh-CN"/>
        </w:rPr>
        <w:t>（</w:t>
      </w:r>
      <w:r>
        <w:rPr>
          <w:rFonts w:hint="eastAsia" w:ascii="宋体" w:hAnsi="宋体" w:eastAsia="宋体" w:cs="宋体"/>
          <w:spacing w:val="-7"/>
          <w:sz w:val="21"/>
          <w:szCs w:val="21"/>
        </w:rPr>
        <w:t>北京时间</w:t>
      </w:r>
      <w:r>
        <w:rPr>
          <w:rFonts w:hint="eastAsia" w:ascii="宋体" w:hAnsi="宋体" w:eastAsia="宋体" w:cs="宋体"/>
          <w:spacing w:val="-8"/>
          <w:sz w:val="21"/>
          <w:szCs w:val="21"/>
        </w:rPr>
        <w:t>）。迟到</w:t>
      </w:r>
      <w:r>
        <w:rPr>
          <w:rFonts w:hint="eastAsia" w:ascii="宋体" w:hAnsi="宋体" w:eastAsia="宋体" w:cs="宋体"/>
          <w:spacing w:val="-1"/>
          <w:sz w:val="21"/>
          <w:szCs w:val="21"/>
        </w:rPr>
        <w:t>或不符合规定的响应文件恕不接受。</w:t>
      </w:r>
    </w:p>
    <w:p w14:paraId="4D5808E2">
      <w:pPr>
        <w:pStyle w:val="3"/>
        <w:spacing w:before="183" w:line="360" w:lineRule="auto"/>
        <w:ind w:left="506"/>
        <w:rPr>
          <w:rFonts w:hint="eastAsia" w:ascii="宋体" w:hAnsi="宋体" w:eastAsia="宋体" w:cs="宋体"/>
          <w:sz w:val="21"/>
          <w:szCs w:val="21"/>
        </w:rPr>
      </w:pPr>
      <w:r>
        <w:rPr>
          <w:rFonts w:hint="eastAsia" w:ascii="宋体" w:hAnsi="宋体" w:eastAsia="宋体" w:cs="宋体"/>
          <w:spacing w:val="-9"/>
          <w:sz w:val="21"/>
          <w:szCs w:val="21"/>
        </w:rPr>
        <w:t>2.磋商时间：2</w:t>
      </w:r>
      <w:r>
        <w:rPr>
          <w:rFonts w:hint="eastAsia" w:ascii="宋体" w:hAnsi="宋体" w:eastAsia="宋体" w:cs="宋体"/>
          <w:spacing w:val="-7"/>
          <w:sz w:val="21"/>
          <w:szCs w:val="21"/>
        </w:rPr>
        <w:t>02</w:t>
      </w:r>
      <w:r>
        <w:rPr>
          <w:rFonts w:hint="eastAsia" w:cs="宋体"/>
          <w:spacing w:val="-7"/>
          <w:sz w:val="21"/>
          <w:szCs w:val="21"/>
          <w:lang w:val="en-US" w:eastAsia="zh-CN"/>
        </w:rPr>
        <w:t>6</w:t>
      </w:r>
      <w:r>
        <w:rPr>
          <w:rFonts w:hint="eastAsia" w:ascii="宋体" w:hAnsi="宋体" w:eastAsia="宋体" w:cs="宋体"/>
          <w:spacing w:val="-7"/>
          <w:sz w:val="21"/>
          <w:szCs w:val="21"/>
        </w:rPr>
        <w:t xml:space="preserve">年 </w:t>
      </w:r>
      <w:r>
        <w:rPr>
          <w:rFonts w:hint="eastAsia" w:cs="宋体"/>
          <w:spacing w:val="-7"/>
          <w:sz w:val="21"/>
          <w:szCs w:val="21"/>
          <w:lang w:val="en-US" w:eastAsia="zh-CN"/>
        </w:rPr>
        <w:t>11</w:t>
      </w:r>
      <w:r>
        <w:rPr>
          <w:rFonts w:hint="eastAsia" w:ascii="宋体" w:hAnsi="宋体" w:eastAsia="宋体" w:cs="宋体"/>
          <w:spacing w:val="-7"/>
          <w:sz w:val="21"/>
          <w:szCs w:val="21"/>
        </w:rPr>
        <w:t>月</w:t>
      </w:r>
      <w:r>
        <w:rPr>
          <w:rFonts w:hint="eastAsia" w:cs="宋体"/>
          <w:spacing w:val="-7"/>
          <w:sz w:val="21"/>
          <w:szCs w:val="21"/>
          <w:lang w:val="en-US" w:eastAsia="zh-CN"/>
        </w:rPr>
        <w:t xml:space="preserve"> 3</w:t>
      </w:r>
      <w:r>
        <w:rPr>
          <w:rFonts w:hint="eastAsia" w:ascii="宋体" w:hAnsi="宋体" w:eastAsia="宋体" w:cs="宋体"/>
          <w:spacing w:val="-7"/>
          <w:sz w:val="21"/>
          <w:szCs w:val="21"/>
          <w:lang w:val="en-US" w:eastAsia="zh-CN"/>
        </w:rPr>
        <w:t xml:space="preserve"> </w:t>
      </w:r>
      <w:r>
        <w:rPr>
          <w:rFonts w:hint="eastAsia" w:ascii="宋体" w:hAnsi="宋体" w:eastAsia="宋体" w:cs="宋体"/>
          <w:spacing w:val="-7"/>
          <w:sz w:val="21"/>
          <w:szCs w:val="21"/>
        </w:rPr>
        <w:t xml:space="preserve">日 </w:t>
      </w:r>
      <w:r>
        <w:rPr>
          <w:rFonts w:hint="eastAsia" w:cs="宋体"/>
          <w:spacing w:val="-7"/>
          <w:sz w:val="21"/>
          <w:szCs w:val="21"/>
          <w:lang w:val="en-US" w:eastAsia="zh-CN"/>
        </w:rPr>
        <w:t>16</w:t>
      </w:r>
      <w:r>
        <w:rPr>
          <w:rFonts w:hint="eastAsia" w:ascii="宋体" w:hAnsi="宋体" w:eastAsia="宋体" w:cs="宋体"/>
          <w:spacing w:val="-7"/>
          <w:sz w:val="21"/>
          <w:szCs w:val="21"/>
        </w:rPr>
        <w:t>:</w:t>
      </w:r>
      <w:r>
        <w:rPr>
          <w:rFonts w:hint="eastAsia" w:cs="宋体"/>
          <w:spacing w:val="-7"/>
          <w:sz w:val="21"/>
          <w:szCs w:val="21"/>
          <w:lang w:val="en-US" w:eastAsia="zh-CN"/>
        </w:rPr>
        <w:t>00</w:t>
      </w:r>
      <w:r>
        <w:rPr>
          <w:rFonts w:hint="eastAsia" w:ascii="宋体" w:hAnsi="宋体" w:eastAsia="宋体" w:cs="宋体"/>
          <w:spacing w:val="-9"/>
          <w:sz w:val="21"/>
          <w:szCs w:val="21"/>
        </w:rPr>
        <w:t>（北京时间）。</w:t>
      </w:r>
    </w:p>
    <w:p w14:paraId="59106EE4">
      <w:pPr>
        <w:pStyle w:val="3"/>
        <w:spacing w:before="184" w:line="360" w:lineRule="auto"/>
        <w:ind w:left="507"/>
        <w:rPr>
          <w:rFonts w:hint="eastAsia" w:ascii="宋体" w:hAnsi="宋体" w:eastAsia="宋体" w:cs="宋体"/>
          <w:sz w:val="21"/>
          <w:szCs w:val="21"/>
        </w:rPr>
      </w:pPr>
      <w:r>
        <w:rPr>
          <w:rFonts w:hint="eastAsia" w:ascii="宋体" w:hAnsi="宋体" w:eastAsia="宋体" w:cs="宋体"/>
          <w:b/>
          <w:bCs/>
          <w:spacing w:val="-3"/>
          <w:sz w:val="21"/>
          <w:szCs w:val="21"/>
        </w:rPr>
        <w:t>五、磋商响应文件递交地点和磋商地点</w:t>
      </w:r>
      <w:bookmarkStart w:id="0" w:name="_GoBack"/>
      <w:bookmarkEnd w:id="0"/>
    </w:p>
    <w:p w14:paraId="2CD4B34A">
      <w:pPr>
        <w:pStyle w:val="3"/>
        <w:spacing w:before="183" w:line="360" w:lineRule="auto"/>
        <w:ind w:left="521"/>
        <w:rPr>
          <w:rFonts w:hint="eastAsia" w:ascii="宋体" w:hAnsi="宋体" w:eastAsia="宋体" w:cs="宋体"/>
          <w:sz w:val="21"/>
          <w:szCs w:val="21"/>
        </w:rPr>
      </w:pPr>
      <w:r>
        <w:rPr>
          <w:rFonts w:hint="eastAsia" w:ascii="宋体" w:hAnsi="宋体" w:eastAsia="宋体" w:cs="宋体"/>
          <w:spacing w:val="-3"/>
          <w:sz w:val="21"/>
          <w:szCs w:val="21"/>
        </w:rPr>
        <w:t>1.磋商响应文件递交地点：</w:t>
      </w:r>
      <w:r>
        <w:rPr>
          <w:rFonts w:hint="eastAsia" w:ascii="宋体" w:hAnsi="宋体" w:eastAsia="宋体" w:cs="宋体"/>
          <w:sz w:val="21"/>
          <w:szCs w:val="21"/>
          <w:highlight w:val="none"/>
        </w:rPr>
        <w:t>上海市百色支路 35 号光华楼1001室</w:t>
      </w:r>
      <w:r>
        <w:rPr>
          <w:rFonts w:hint="eastAsia" w:ascii="宋体" w:hAnsi="宋体" w:eastAsia="宋体" w:cs="宋体"/>
          <w:spacing w:val="-4"/>
          <w:sz w:val="21"/>
          <w:szCs w:val="21"/>
        </w:rPr>
        <w:t>。</w:t>
      </w:r>
    </w:p>
    <w:p w14:paraId="55FE8F39">
      <w:pPr>
        <w:pStyle w:val="3"/>
        <w:spacing w:before="183" w:line="360" w:lineRule="auto"/>
        <w:ind w:left="506"/>
        <w:rPr>
          <w:rFonts w:hint="eastAsia" w:ascii="宋体" w:hAnsi="宋体" w:eastAsia="宋体" w:cs="宋体"/>
          <w:sz w:val="21"/>
          <w:szCs w:val="21"/>
        </w:rPr>
      </w:pPr>
      <w:r>
        <w:rPr>
          <w:rFonts w:hint="eastAsia" w:ascii="宋体" w:hAnsi="宋体" w:eastAsia="宋体" w:cs="宋体"/>
          <w:spacing w:val="-4"/>
          <w:sz w:val="21"/>
          <w:szCs w:val="21"/>
        </w:rPr>
        <w:t>2.磋商地点：</w:t>
      </w:r>
      <w:r>
        <w:rPr>
          <w:rFonts w:hint="eastAsia" w:ascii="宋体" w:hAnsi="宋体" w:eastAsia="宋体" w:cs="宋体"/>
          <w:sz w:val="21"/>
          <w:szCs w:val="21"/>
          <w:highlight w:val="none"/>
        </w:rPr>
        <w:t>上海市百色支路 35 号光华楼1001室</w:t>
      </w:r>
      <w:r>
        <w:rPr>
          <w:rFonts w:hint="eastAsia" w:ascii="宋体" w:hAnsi="宋体" w:eastAsia="宋体" w:cs="宋体"/>
          <w:spacing w:val="-4"/>
          <w:sz w:val="21"/>
          <w:szCs w:val="21"/>
        </w:rPr>
        <w:t>。</w:t>
      </w:r>
    </w:p>
    <w:p w14:paraId="65593D08">
      <w:pPr>
        <w:pStyle w:val="3"/>
        <w:spacing w:before="183" w:line="360" w:lineRule="auto"/>
        <w:ind w:left="521"/>
        <w:rPr>
          <w:rFonts w:hint="eastAsia" w:ascii="宋体" w:hAnsi="宋体" w:eastAsia="宋体" w:cs="宋体"/>
          <w:spacing w:val="-3"/>
          <w:sz w:val="21"/>
          <w:szCs w:val="21"/>
        </w:rPr>
      </w:pPr>
      <w:r>
        <w:rPr>
          <w:rFonts w:hint="eastAsia" w:ascii="宋体" w:hAnsi="宋体" w:eastAsia="宋体" w:cs="宋体"/>
          <w:spacing w:val="-3"/>
          <w:sz w:val="21"/>
          <w:szCs w:val="21"/>
        </w:rPr>
        <w:t>3.磋商所需携带其他材料：</w:t>
      </w:r>
    </w:p>
    <w:p w14:paraId="4C1FEE08">
      <w:pPr>
        <w:pStyle w:val="3"/>
        <w:spacing w:before="183" w:line="360" w:lineRule="auto"/>
        <w:ind w:left="521"/>
        <w:rPr>
          <w:rFonts w:hint="eastAsia" w:ascii="宋体" w:hAnsi="宋体" w:eastAsia="宋体" w:cs="宋体"/>
          <w:spacing w:val="-3"/>
          <w:sz w:val="21"/>
          <w:szCs w:val="21"/>
        </w:rPr>
      </w:pPr>
      <w:r>
        <w:rPr>
          <w:rFonts w:hint="eastAsia" w:ascii="宋体" w:hAnsi="宋体" w:eastAsia="宋体" w:cs="宋体"/>
          <w:spacing w:val="-3"/>
          <w:sz w:val="21"/>
          <w:szCs w:val="21"/>
        </w:rPr>
        <w:t>法定代表人出席需携带：（1）法定代表人证明原件；（2）法定代表人身份证明原件及复印件加盖公章；</w:t>
      </w:r>
    </w:p>
    <w:p w14:paraId="7510B1E7">
      <w:pPr>
        <w:pStyle w:val="3"/>
        <w:spacing w:before="183" w:line="360" w:lineRule="auto"/>
        <w:ind w:left="521"/>
        <w:rPr>
          <w:rFonts w:hint="eastAsia" w:ascii="宋体" w:hAnsi="宋体" w:eastAsia="宋体" w:cs="宋体"/>
          <w:sz w:val="21"/>
          <w:szCs w:val="21"/>
        </w:rPr>
      </w:pPr>
      <w:r>
        <w:rPr>
          <w:rFonts w:hint="eastAsia" w:ascii="宋体" w:hAnsi="宋体" w:eastAsia="宋体" w:cs="宋体"/>
          <w:spacing w:val="-3"/>
          <w:sz w:val="21"/>
          <w:szCs w:val="21"/>
        </w:rPr>
        <w:t>委托代理人出席需携带：（1）投标人的法定代表人证明原件；（2）法定代表人授权委托书原件；（3）委托代理人身份证明原件及复印件加盖公章。</w:t>
      </w:r>
    </w:p>
    <w:p w14:paraId="543A4B88">
      <w:pPr>
        <w:pStyle w:val="3"/>
        <w:spacing w:before="1" w:line="360" w:lineRule="auto"/>
        <w:ind w:left="505"/>
        <w:rPr>
          <w:rFonts w:hint="eastAsia" w:ascii="宋体" w:hAnsi="宋体" w:eastAsia="宋体" w:cs="宋体"/>
          <w:sz w:val="21"/>
          <w:szCs w:val="21"/>
        </w:rPr>
      </w:pPr>
      <w:r>
        <w:rPr>
          <w:rFonts w:hint="eastAsia" w:ascii="宋体" w:hAnsi="宋体" w:eastAsia="宋体" w:cs="宋体"/>
          <w:b/>
          <w:bCs/>
          <w:spacing w:val="-3"/>
          <w:sz w:val="21"/>
          <w:szCs w:val="21"/>
        </w:rPr>
        <w:t>六、发布公告的媒介</w:t>
      </w:r>
    </w:p>
    <w:p w14:paraId="44633E4D">
      <w:pPr>
        <w:pStyle w:val="3"/>
        <w:spacing w:before="185" w:line="360" w:lineRule="auto"/>
        <w:ind w:left="28" w:right="99" w:firstLine="502"/>
        <w:rPr>
          <w:rFonts w:hint="eastAsia" w:ascii="宋体" w:hAnsi="宋体" w:eastAsia="宋体" w:cs="宋体"/>
          <w:sz w:val="21"/>
          <w:szCs w:val="21"/>
        </w:rPr>
      </w:pPr>
      <w:r>
        <w:rPr>
          <w:rFonts w:hint="eastAsia" w:ascii="宋体" w:hAnsi="宋体" w:eastAsia="宋体" w:cs="宋体"/>
          <w:spacing w:val="-5"/>
          <w:sz w:val="21"/>
          <w:szCs w:val="21"/>
        </w:rPr>
        <w:t>以上信息若有变更我们会通过“上海市工商外国语学校网站</w:t>
      </w:r>
      <w:r>
        <w:rPr>
          <w:rFonts w:hint="eastAsia" w:ascii="宋体" w:hAnsi="宋体" w:eastAsia="宋体" w:cs="宋体"/>
          <w:spacing w:val="-87"/>
          <w:sz w:val="21"/>
          <w:szCs w:val="21"/>
        </w:rPr>
        <w:t xml:space="preserve"> </w:t>
      </w:r>
      <w:r>
        <w:rPr>
          <w:rFonts w:hint="eastAsia" w:ascii="宋体" w:hAnsi="宋体" w:eastAsia="宋体" w:cs="宋体"/>
          <w:spacing w:val="-5"/>
          <w:sz w:val="21"/>
          <w:szCs w:val="21"/>
        </w:rPr>
        <w:t>”通知，请供应</w:t>
      </w:r>
      <w:r>
        <w:rPr>
          <w:rFonts w:hint="eastAsia" w:ascii="宋体" w:hAnsi="宋体" w:eastAsia="宋体" w:cs="宋体"/>
          <w:spacing w:val="-4"/>
          <w:sz w:val="21"/>
          <w:szCs w:val="21"/>
        </w:rPr>
        <w:t>商关注。</w:t>
      </w:r>
    </w:p>
    <w:p w14:paraId="43E87E72">
      <w:pPr>
        <w:pStyle w:val="3"/>
        <w:spacing w:before="1" w:line="360" w:lineRule="auto"/>
        <w:ind w:left="502"/>
        <w:rPr>
          <w:rFonts w:hint="eastAsia" w:ascii="宋体" w:hAnsi="宋体" w:eastAsia="宋体" w:cs="宋体"/>
          <w:sz w:val="21"/>
          <w:szCs w:val="21"/>
        </w:rPr>
      </w:pPr>
      <w:r>
        <w:rPr>
          <w:rFonts w:hint="eastAsia" w:ascii="宋体" w:hAnsi="宋体" w:eastAsia="宋体" w:cs="宋体"/>
          <w:b/>
          <w:bCs/>
          <w:spacing w:val="-4"/>
          <w:sz w:val="21"/>
          <w:szCs w:val="21"/>
        </w:rPr>
        <w:t>七、联系方式</w:t>
      </w:r>
    </w:p>
    <w:p w14:paraId="49A111C1">
      <w:pPr>
        <w:widowControl/>
        <w:spacing w:line="360" w:lineRule="auto"/>
        <w:ind w:firstLine="420" w:firstLineChars="200"/>
        <w:jc w:val="left"/>
        <w:rPr>
          <w:rFonts w:hint="eastAsia" w:ascii="宋体" w:hAnsi="宋体" w:eastAsia="宋体" w:cs="宋体"/>
          <w:sz w:val="21"/>
          <w:szCs w:val="21"/>
          <w:highlight w:val="none"/>
        </w:rPr>
      </w:pPr>
      <w:r>
        <w:rPr>
          <w:rFonts w:hint="eastAsia" w:ascii="宋体" w:hAnsi="宋体" w:eastAsia="宋体" w:cs="宋体"/>
          <w:b w:val="0"/>
          <w:bCs w:val="0"/>
          <w:sz w:val="21"/>
          <w:szCs w:val="21"/>
          <w:highlight w:val="none"/>
          <w:lang w:val="en-US" w:eastAsia="zh-CN"/>
        </w:rPr>
        <w:t>采购人</w:t>
      </w:r>
      <w:r>
        <w:rPr>
          <w:rFonts w:hint="eastAsia" w:ascii="宋体" w:hAnsi="宋体" w:eastAsia="宋体" w:cs="宋体"/>
          <w:b w:val="0"/>
          <w:bCs w:val="0"/>
          <w:sz w:val="21"/>
          <w:szCs w:val="21"/>
          <w:highlight w:val="none"/>
        </w:rPr>
        <w:t>：</w:t>
      </w:r>
      <w:r>
        <w:rPr>
          <w:rFonts w:hint="eastAsia" w:ascii="宋体" w:hAnsi="宋体" w:eastAsia="宋体" w:cs="宋体"/>
          <w:sz w:val="21"/>
          <w:szCs w:val="21"/>
          <w:highlight w:val="none"/>
          <w:lang w:val="en-US" w:eastAsia="zh-CN"/>
        </w:rPr>
        <w:t>上海市工商外国语学校</w:t>
      </w:r>
    </w:p>
    <w:p w14:paraId="53384A08">
      <w:pPr>
        <w:widowControl/>
        <w:spacing w:line="360" w:lineRule="auto"/>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地</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址：</w:t>
      </w:r>
      <w:r>
        <w:rPr>
          <w:rFonts w:hint="eastAsia" w:ascii="宋体" w:hAnsi="宋体" w:eastAsia="宋体" w:cs="宋体"/>
          <w:sz w:val="21"/>
          <w:szCs w:val="21"/>
          <w:highlight w:val="none"/>
          <w:lang w:eastAsia="zh-CN"/>
        </w:rPr>
        <w:t>上海市徐汇区百色支路35号</w:t>
      </w:r>
      <w:r>
        <w:rPr>
          <w:rFonts w:hint="eastAsia" w:ascii="宋体" w:hAnsi="宋体" w:eastAsia="宋体" w:cs="宋体"/>
          <w:sz w:val="21"/>
          <w:szCs w:val="21"/>
          <w:highlight w:val="none"/>
        </w:rPr>
        <w:t>　　　　　　</w:t>
      </w:r>
    </w:p>
    <w:p w14:paraId="61EB58A9">
      <w:pPr>
        <w:widowControl/>
        <w:spacing w:line="360" w:lineRule="auto"/>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联系</w:t>
      </w:r>
      <w:r>
        <w:rPr>
          <w:rFonts w:hint="eastAsia" w:ascii="宋体" w:hAnsi="宋体" w:eastAsia="宋体" w:cs="宋体"/>
          <w:sz w:val="21"/>
          <w:szCs w:val="21"/>
          <w:highlight w:val="none"/>
          <w:lang w:val="en-US" w:eastAsia="zh-CN"/>
        </w:rPr>
        <w:t>人</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施</w:t>
      </w:r>
      <w:r>
        <w:rPr>
          <w:rFonts w:hint="eastAsia" w:ascii="宋体" w:hAnsi="宋体" w:eastAsia="宋体" w:cs="宋体"/>
          <w:sz w:val="21"/>
          <w:szCs w:val="21"/>
          <w:highlight w:val="none"/>
        </w:rPr>
        <w:t>老师</w:t>
      </w:r>
    </w:p>
    <w:p w14:paraId="055139FD">
      <w:pPr>
        <w:widowControl/>
        <w:spacing w:line="360" w:lineRule="auto"/>
        <w:ind w:firstLine="420" w:firstLineChars="200"/>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电  话：</w:t>
      </w:r>
      <w:r>
        <w:rPr>
          <w:rFonts w:hint="eastAsia" w:ascii="宋体" w:hAnsi="宋体" w:eastAsia="宋体" w:cs="宋体"/>
          <w:sz w:val="21"/>
          <w:szCs w:val="21"/>
          <w:highlight w:val="none"/>
          <w:lang w:val="en-US"/>
        </w:rPr>
        <w:t>021-</w:t>
      </w:r>
      <w:r>
        <w:rPr>
          <w:rFonts w:hint="eastAsia" w:ascii="宋体" w:hAnsi="宋体" w:eastAsia="宋体" w:cs="宋体"/>
          <w:sz w:val="21"/>
          <w:szCs w:val="21"/>
          <w:highlight w:val="none"/>
          <w:lang w:val="en-US" w:eastAsia="zh-CN"/>
        </w:rPr>
        <w:t>64763038-</w:t>
      </w:r>
      <w:r>
        <w:rPr>
          <w:rFonts w:hint="eastAsia" w:ascii="宋体" w:hAnsi="宋体" w:eastAsia="宋体" w:cs="宋体"/>
          <w:color w:val="000000"/>
          <w:sz w:val="21"/>
          <w:szCs w:val="21"/>
          <w:lang w:val="en-US" w:eastAsia="zh-CN" w:bidi="ar"/>
        </w:rPr>
        <w:t>6207</w:t>
      </w:r>
      <w:r>
        <w:rPr>
          <w:rFonts w:hint="eastAsia" w:ascii="宋体" w:hAnsi="宋体" w:eastAsia="宋体" w:cs="宋体"/>
          <w:kern w:val="2"/>
          <w:sz w:val="21"/>
          <w:szCs w:val="21"/>
          <w:highlight w:val="none"/>
          <w:lang w:val="en-US" w:eastAsia="zh-CN"/>
        </w:rPr>
        <w:t xml:space="preserve">   </w:t>
      </w:r>
      <w:r>
        <w:rPr>
          <w:rFonts w:hint="eastAsia" w:ascii="宋体" w:hAnsi="宋体" w:eastAsia="宋体" w:cs="宋体"/>
          <w:sz w:val="21"/>
          <w:szCs w:val="21"/>
          <w:highlight w:val="none"/>
        </w:rPr>
        <w:t>　　　　　　</w:t>
      </w:r>
    </w:p>
    <w:p w14:paraId="00E3BBCE">
      <w:pPr>
        <w:widowControl/>
        <w:spacing w:line="360" w:lineRule="auto"/>
        <w:ind w:firstLine="420" w:firstLineChars="200"/>
        <w:jc w:val="left"/>
        <w:rPr>
          <w:rFonts w:hint="eastAsia" w:ascii="宋体" w:hAnsi="宋体" w:eastAsia="宋体" w:cs="宋体"/>
          <w:b w:val="0"/>
          <w:bCs w:val="0"/>
          <w:sz w:val="21"/>
          <w:szCs w:val="21"/>
          <w:highlight w:val="none"/>
          <w:lang w:val="en-US" w:eastAsia="zh-CN"/>
        </w:rPr>
      </w:pPr>
    </w:p>
    <w:p w14:paraId="02E52088">
      <w:pPr>
        <w:widowControl/>
        <w:spacing w:line="360" w:lineRule="auto"/>
        <w:ind w:firstLine="420" w:firstLineChars="200"/>
        <w:jc w:val="left"/>
        <w:rPr>
          <w:rFonts w:hint="eastAsia" w:ascii="宋体" w:hAnsi="宋体" w:eastAsia="宋体" w:cs="宋体"/>
          <w:sz w:val="21"/>
          <w:szCs w:val="21"/>
          <w:highlight w:val="none"/>
        </w:rPr>
      </w:pPr>
      <w:r>
        <w:rPr>
          <w:rFonts w:hint="eastAsia" w:ascii="宋体" w:hAnsi="宋体" w:eastAsia="宋体" w:cs="宋体"/>
          <w:b w:val="0"/>
          <w:bCs w:val="0"/>
          <w:sz w:val="21"/>
          <w:szCs w:val="21"/>
          <w:highlight w:val="none"/>
          <w:lang w:val="en-US" w:eastAsia="zh-CN"/>
        </w:rPr>
        <w:t>招标</w:t>
      </w:r>
      <w:r>
        <w:rPr>
          <w:rFonts w:hint="eastAsia" w:ascii="宋体" w:hAnsi="宋体" w:eastAsia="宋体" w:cs="宋体"/>
          <w:b w:val="0"/>
          <w:bCs w:val="0"/>
          <w:sz w:val="21"/>
          <w:szCs w:val="21"/>
          <w:highlight w:val="none"/>
        </w:rPr>
        <w:t>代理机构</w:t>
      </w:r>
      <w:r>
        <w:rPr>
          <w:rFonts w:hint="eastAsia" w:ascii="宋体" w:hAnsi="宋体" w:eastAsia="宋体" w:cs="宋体"/>
          <w:sz w:val="21"/>
          <w:szCs w:val="21"/>
          <w:highlight w:val="none"/>
        </w:rPr>
        <w:t>：上海健生教育配置招标有限公司　　　　　　　　　　　　</w:t>
      </w:r>
    </w:p>
    <w:p w14:paraId="0DA9BBC2">
      <w:pPr>
        <w:widowControl/>
        <w:spacing w:line="360" w:lineRule="auto"/>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地</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址：上海市</w:t>
      </w:r>
      <w:r>
        <w:rPr>
          <w:rFonts w:hint="eastAsia" w:ascii="宋体" w:hAnsi="宋体" w:eastAsia="宋体" w:cs="宋体"/>
          <w:sz w:val="21"/>
          <w:szCs w:val="21"/>
          <w:highlight w:val="none"/>
          <w:lang w:eastAsia="zh-CN"/>
        </w:rPr>
        <w:t>黄浦区</w:t>
      </w:r>
      <w:r>
        <w:rPr>
          <w:rFonts w:hint="eastAsia" w:ascii="宋体" w:hAnsi="宋体" w:eastAsia="宋体" w:cs="宋体"/>
          <w:sz w:val="21"/>
          <w:szCs w:val="21"/>
          <w:highlight w:val="none"/>
          <w:lang w:val="en-US" w:eastAsia="zh-CN"/>
        </w:rPr>
        <w:t>瞿溪路350号一楼</w:t>
      </w:r>
      <w:r>
        <w:rPr>
          <w:rFonts w:hint="eastAsia" w:ascii="宋体" w:hAnsi="宋体" w:eastAsia="宋体" w:cs="宋体"/>
          <w:sz w:val="21"/>
          <w:szCs w:val="21"/>
          <w:highlight w:val="none"/>
        </w:rPr>
        <w:t>　　　　　　　　　　　　</w:t>
      </w:r>
    </w:p>
    <w:p w14:paraId="1A27697F">
      <w:pPr>
        <w:widowControl/>
        <w:spacing w:line="360" w:lineRule="auto"/>
        <w:ind w:firstLine="420" w:firstLineChars="200"/>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联系</w:t>
      </w:r>
      <w:r>
        <w:rPr>
          <w:rFonts w:hint="eastAsia" w:ascii="宋体" w:hAnsi="宋体" w:eastAsia="宋体" w:cs="宋体"/>
          <w:sz w:val="21"/>
          <w:szCs w:val="21"/>
          <w:highlight w:val="none"/>
          <w:lang w:val="en-US" w:eastAsia="zh-CN"/>
        </w:rPr>
        <w:t>人</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倪天豪</w:t>
      </w:r>
    </w:p>
    <w:p w14:paraId="5DBE6CE7">
      <w:pPr>
        <w:widowControl/>
        <w:spacing w:line="360" w:lineRule="auto"/>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电  话：</w:t>
      </w:r>
      <w:r>
        <w:rPr>
          <w:rFonts w:hint="eastAsia" w:ascii="宋体" w:hAnsi="宋体" w:eastAsia="宋体" w:cs="宋体"/>
          <w:b w:val="0"/>
          <w:bCs w:val="0"/>
          <w:sz w:val="21"/>
          <w:szCs w:val="21"/>
          <w:highlight w:val="none"/>
          <w:lang w:val="en-US" w:eastAsia="zh-CN"/>
        </w:rPr>
        <w:t>021-53087656-122</w:t>
      </w:r>
      <w:r>
        <w:rPr>
          <w:rFonts w:hint="eastAsia" w:ascii="宋体" w:hAnsi="宋体" w:eastAsia="宋体" w:cs="宋体"/>
          <w:sz w:val="21"/>
          <w:szCs w:val="21"/>
          <w:highlight w:val="none"/>
        </w:rPr>
        <w:t>　　　　　　　　　　　　</w:t>
      </w:r>
    </w:p>
    <w:p w14:paraId="3A0B2753">
      <w:pPr>
        <w:widowControl/>
        <w:spacing w:line="360" w:lineRule="auto"/>
        <w:ind w:firstLine="420" w:firstLineChars="200"/>
        <w:jc w:val="left"/>
        <w:rPr>
          <w:rFonts w:hint="eastAsia" w:ascii="宋体" w:hAnsi="宋体" w:eastAsia="宋体" w:cs="宋体"/>
          <w:sz w:val="21"/>
          <w:szCs w:val="21"/>
        </w:rPr>
      </w:pPr>
      <w:r>
        <w:rPr>
          <w:rFonts w:hint="eastAsia" w:ascii="宋体" w:hAnsi="宋体" w:eastAsia="宋体" w:cs="宋体"/>
          <w:sz w:val="21"/>
          <w:szCs w:val="21"/>
          <w:highlight w:val="none"/>
          <w:lang w:val="en-US" w:eastAsia="zh-CN"/>
        </w:rPr>
        <w:t>电子邮件：</w:t>
      </w:r>
      <w:r>
        <w:rPr>
          <w:rFonts w:hint="eastAsia" w:ascii="宋体" w:hAnsi="宋体" w:eastAsia="宋体" w:cs="宋体"/>
          <w:b w:val="0"/>
          <w:bCs w:val="0"/>
          <w:sz w:val="21"/>
          <w:szCs w:val="21"/>
          <w:highlight w:val="none"/>
          <w:lang w:val="en-US" w:eastAsia="zh-CN"/>
        </w:rPr>
        <w:t>zhaobiao@mail.jiansheng.com</w:t>
      </w:r>
    </w:p>
    <w:sectPr>
      <w:pgSz w:w="11906" w:h="16839"/>
      <w:pgMar w:top="1431" w:right="1785" w:bottom="1429" w:left="1785"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Optimum">
    <w:altName w:val="宋体"/>
    <w:panose1 w:val="00000000000000000000"/>
    <w:charset w:val="86"/>
    <w:family w:val="roma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isplayHorizontalDrawingGridEvery w:val="0"/>
  <w:displayVerticalDrawingGridEvery w:val="2"/>
  <w:characterSpacingControl w:val="doNotCompress"/>
  <w:footnotePr>
    <w:footnote w:id="0"/>
    <w:footnote w:id="1"/>
  </w:footnotePr>
  <w:endnotePr>
    <w:endnote w:id="0"/>
    <w:endnote w:id="1"/>
  </w:endnotePr>
  <w:compat>
    <w:spaceForUL/>
    <w:balanceSingleByteDoubleByteWidth/>
    <w:ulTrailSpace/>
    <w:doNotExpandShiftReturn/>
    <w:adjustLineHeightInTable/>
    <w:doNotWrapTextWithPunct/>
    <w:doNotUseEastAsianBreakRules/>
    <w:useFELayout/>
    <w:compatSetting w:name="compatibilityMode" w:uri="http://schemas.microsoft.com/office/word" w:val="14"/>
  </w:compat>
  <w:rsids>
    <w:rsidRoot w:val="00000000"/>
    <w:rsid w:val="03377AA2"/>
    <w:rsid w:val="03FA6D38"/>
    <w:rsid w:val="043C62D4"/>
    <w:rsid w:val="12DF135C"/>
    <w:rsid w:val="14A81E98"/>
    <w:rsid w:val="15486246"/>
    <w:rsid w:val="1A072B9A"/>
    <w:rsid w:val="22856899"/>
    <w:rsid w:val="274B74D8"/>
    <w:rsid w:val="2CAE31AA"/>
    <w:rsid w:val="336E4790"/>
    <w:rsid w:val="33745910"/>
    <w:rsid w:val="38701DD0"/>
    <w:rsid w:val="39687ECB"/>
    <w:rsid w:val="3C702C06"/>
    <w:rsid w:val="3E5967DC"/>
    <w:rsid w:val="3E8B6399"/>
    <w:rsid w:val="4BB16ED0"/>
    <w:rsid w:val="4C9E7102"/>
    <w:rsid w:val="4D6B5140"/>
    <w:rsid w:val="4DB207B9"/>
    <w:rsid w:val="65CC7845"/>
    <w:rsid w:val="706109EE"/>
    <w:rsid w:val="71860D7C"/>
    <w:rsid w:val="71BC7E47"/>
    <w:rsid w:val="73D71312"/>
    <w:rsid w:val="747F28AF"/>
    <w:rsid w:val="7A852E93"/>
    <w:rsid w:val="7C7E4D85"/>
    <w:rsid w:val="7CED35AB"/>
    <w:rsid w:val="7D5A0C0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8">
    <w:name w:val="Default Paragraph Font"/>
    <w:semiHidden/>
    <w:qFormat/>
    <w:uiPriority w:val="0"/>
  </w:style>
  <w:style w:type="table" w:default="1" w:styleId="6">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Body Text"/>
    <w:basedOn w:val="1"/>
    <w:semiHidden/>
    <w:qFormat/>
    <w:uiPriority w:val="0"/>
    <w:rPr>
      <w:rFonts w:ascii="宋体" w:hAnsi="宋体" w:eastAsia="宋体" w:cs="宋体"/>
      <w:sz w:val="24"/>
      <w:szCs w:val="24"/>
      <w:lang w:val="en-US" w:eastAsia="en-US" w:bidi="ar-SA"/>
    </w:rPr>
  </w:style>
  <w:style w:type="paragraph" w:styleId="4">
    <w:name w:val="Body Text Indent"/>
    <w:basedOn w:val="1"/>
    <w:qFormat/>
    <w:uiPriority w:val="0"/>
    <w:pPr>
      <w:ind w:left="525"/>
    </w:pPr>
  </w:style>
  <w:style w:type="paragraph" w:styleId="5">
    <w:name w:val="Body Text First Indent 2"/>
    <w:basedOn w:val="4"/>
    <w:qFormat/>
    <w:uiPriority w:val="0"/>
    <w:pPr>
      <w:spacing w:line="360" w:lineRule="auto"/>
      <w:ind w:left="600" w:leftChars="200" w:hanging="180" w:hangingChars="100"/>
    </w:pPr>
    <w:rPr>
      <w:rFonts w:ascii="Arial" w:hAnsi="Arial" w:eastAsia="宋体"/>
      <w:sz w:val="18"/>
    </w:rPr>
  </w:style>
  <w:style w:type="table" w:styleId="7">
    <w:name w:val="Table Grid"/>
    <w:basedOn w:val="6"/>
    <w:unhideWhenUsed/>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
    <w:name w:val="Table Normal"/>
    <w:semiHidden/>
    <w:unhideWhenUsed/>
    <w:qFormat/>
    <w:uiPriority w:val="0"/>
    <w:tblPr>
      <w:tblCellMar>
        <w:top w:w="0" w:type="dxa"/>
        <w:left w:w="0" w:type="dxa"/>
        <w:bottom w:w="0" w:type="dxa"/>
        <w:right w:w="0" w:type="dxa"/>
      </w:tblCellMar>
    </w:tblPr>
  </w:style>
  <w:style w:type="paragraph" w:customStyle="1" w:styleId="10">
    <w:name w:val="Table Text"/>
    <w:basedOn w:val="1"/>
    <w:semiHidden/>
    <w:qFormat/>
    <w:uiPriority w:val="0"/>
    <w:rPr>
      <w:rFonts w:ascii="宋体" w:hAnsi="宋体" w:eastAsia="宋体" w:cs="宋体"/>
      <w:sz w:val="24"/>
      <w:szCs w:val="24"/>
      <w:lang w:val="en-US" w:eastAsia="en-US" w:bidi="ar-SA"/>
    </w:rPr>
  </w:style>
  <w:style w:type="paragraph" w:customStyle="1" w:styleId="11">
    <w:name w:val="Default"/>
    <w:autoRedefine/>
    <w:qFormat/>
    <w:uiPriority w:val="0"/>
    <w:pPr>
      <w:widowControl w:val="0"/>
      <w:autoSpaceDE w:val="0"/>
      <w:autoSpaceDN w:val="0"/>
      <w:adjustRightInd w:val="0"/>
    </w:pPr>
    <w:rPr>
      <w:rFonts w:ascii="Optimum" w:hAnsi="Times New Roman" w:eastAsia="Optimum" w:cs="Times New Roman"/>
      <w:color w:val="000000"/>
      <w:sz w:val="24"/>
      <w:szCs w:val="24"/>
      <w:lang w:val="en-US" w:eastAsia="zh-CN" w:bidi="ar-SA"/>
    </w:rPr>
  </w:style>
  <w:style w:type="character" w:customStyle="1" w:styleId="12">
    <w:name w:val="15"/>
    <w:basedOn w:val="8"/>
    <w:qFormat/>
    <w:uiPriority w:val="0"/>
    <w:rPr>
      <w:rFonts w:hint="eastAsia" w:ascii="微软雅黑" w:hAnsi="微软雅黑" w:eastAsia="微软雅黑" w:cs="微软雅黑"/>
      <w:color w:val="000000"/>
      <w:sz w:val="20"/>
      <w:szCs w:val="20"/>
    </w:rPr>
  </w:style>
  <w:style w:type="character" w:customStyle="1" w:styleId="13">
    <w:name w:val="10"/>
    <w:basedOn w:val="8"/>
    <w:qFormat/>
    <w:uiPriority w:val="0"/>
    <w:rPr>
      <w:rFonts w:hint="default" w:ascii="Times New Roman" w:hAnsi="Times New Roman" w:cs="Times New Roman"/>
    </w:rPr>
  </w:style>
  <w:style w:type="paragraph" w:customStyle="1" w:styleId="14">
    <w:name w:val="样式 首行缩进:  2 字符"/>
    <w:basedOn w:val="1"/>
    <w:unhideWhenUsed/>
    <w:qFormat/>
    <w:uiPriority w:val="0"/>
    <w:pPr>
      <w:spacing w:line="360" w:lineRule="auto"/>
      <w:ind w:firstLine="480" w:firstLineChars="200"/>
    </w:pPr>
    <w:rPr>
      <w:rFonts w:ascii="宋体" w:hAnsi="宋体" w:cs="宋体"/>
      <w:color w:val="000000"/>
      <w:sz w:val="24"/>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9</Pages>
  <Words>687</Words>
  <Characters>759</Characters>
  <Lines>1</Lines>
  <Paragraphs>1</Paragraphs>
  <TotalTime>0</TotalTime>
  <ScaleCrop>false</ScaleCrop>
  <LinksUpToDate>false</LinksUpToDate>
  <CharactersWithSpaces>796</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2025-12-30T14:53:00Z</dcterms:created>
  <dc:creator>Jason</dc:creator>
  <cp:lastModifiedBy>In rays</cp:lastModifiedBy>
  <dcterms:modified xsi:type="dcterms:W3CDTF">2026-10-22T06:11:35Z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2026-01-08T10:16:58Z</vt:filetime>
  </property>
  <property fmtid="{D5CDD505-2E9C-101B-9397-08002B2CF9AE}" pid="4" name="KSOTemplateDocerSaveRecord">
    <vt:lpwstr>eyJoZGlkIjoiMWI3OGZhYjgxMDdmYjdjYWE3OThhNzk4MTQzYWM2MzciLCJ1c2VySWQiOiI5OTQzODM2NTAifQ==</vt:lpwstr>
  </property>
  <property fmtid="{D5CDD505-2E9C-101B-9397-08002B2CF9AE}" pid="5" name="KSOProductBuildVer">
    <vt:lpwstr>2052-12.1.0.29161</vt:lpwstr>
  </property>
  <property fmtid="{D5CDD505-2E9C-101B-9397-08002B2CF9AE}" pid="6" name="ICV">
    <vt:lpwstr>E172F8AD52804CCDB1F1FE911C846477_13</vt:lpwstr>
  </property>
</Properties>
</file>