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3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数据采集与预处理教材项目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3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数据采集与预处理教材项目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3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3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数据采集与预处理教材项目</w:t>
      </w:r>
    </w:p>
    <w:p w14:paraId="082F62B6">
      <w:pPr>
        <w:pStyle w:val="3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bookmarkStart w:id="0" w:name="_GoBack"/>
      <w:bookmarkEnd w:id="0"/>
      <w:r>
        <w:rPr>
          <w:rFonts w:hint="eastAsia" w:cs="宋体"/>
          <w:spacing w:val="-1"/>
          <w:sz w:val="21"/>
          <w:szCs w:val="21"/>
          <w:lang w:eastAsia="zh-CN"/>
        </w:rPr>
        <w:t>JSCS26060507-N75</w:t>
      </w:r>
    </w:p>
    <w:p w14:paraId="6EC98629">
      <w:pPr>
        <w:pStyle w:val="3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3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cs="宋体"/>
          <w:sz w:val="21"/>
          <w:szCs w:val="21"/>
          <w:lang w:val="en-US" w:eastAsia="zh-CN"/>
        </w:rPr>
        <w:t>交付期：2026年12月31日前完成交付。</w:t>
      </w:r>
    </w:p>
    <w:p w14:paraId="1058C322">
      <w:pPr>
        <w:pStyle w:val="3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AEB1F49">
      <w:pPr>
        <w:pStyle w:val="3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</w:p>
    <w:p w14:paraId="2BAEE9F9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1.服务内容</w:t>
      </w:r>
    </w:p>
    <w:tbl>
      <w:tblPr>
        <w:tblStyle w:val="5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933"/>
        <w:gridCol w:w="477"/>
        <w:gridCol w:w="8130"/>
      </w:tblGrid>
      <w:tr w14:paraId="08AD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A321D25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7F94E609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服务内容</w:t>
            </w:r>
          </w:p>
        </w:tc>
        <w:tc>
          <w:tcPr>
            <w:tcW w:w="0" w:type="auto"/>
            <w:vAlign w:val="center"/>
          </w:tcPr>
          <w:p w14:paraId="0E49E00F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 w14:paraId="43254B6F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服务需求</w:t>
            </w:r>
          </w:p>
        </w:tc>
      </w:tr>
      <w:tr w14:paraId="1B29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A38ADF3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6B763C49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教材出版服务</w:t>
            </w:r>
          </w:p>
        </w:tc>
        <w:tc>
          <w:tcPr>
            <w:tcW w:w="0" w:type="auto"/>
            <w:vAlign w:val="center"/>
          </w:tcPr>
          <w:p w14:paraId="31F3A3D9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1项</w:t>
            </w:r>
          </w:p>
        </w:tc>
        <w:tc>
          <w:tcPr>
            <w:tcW w:w="0" w:type="auto"/>
            <w:vAlign w:val="center"/>
          </w:tcPr>
          <w:p w14:paraId="09A8F7AB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本项目需围绕项目式教学理念，适配市级课程标准常态化教学应用场景。要求完成教材的策划、全流程出版服务。教材开发需严格契合对应专业课程标准，科学规划整体目录框架、搭建课程知识与技能体系，突出教材内容的独创性与行业特色性。</w:t>
            </w:r>
          </w:p>
          <w:p w14:paraId="3232065B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教材整体编撰质量需符合国家正规出版物出版规范，满足以下核心要求：整体结构架构科学合理，内容层级清晰分明、逻辑体系严密完整，内容表述精准精炼、文句通顺易懂，无错别字、语病、逻辑漏洞及知识性错误，完全达标正规教材出版审核、发行标准，最终完成教材合规出版交付。</w:t>
            </w:r>
          </w:p>
          <w:p w14:paraId="442AA37B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3.教材采用五大项目引领式教学逻辑编写，完全贴合项目化教学模式，严格按照既定目录模块搭建全文内容，具体编写模块如下：</w:t>
            </w:r>
          </w:p>
          <w:p w14:paraId="32CE7808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项目一：数据采集与处理基础</w:t>
            </w:r>
          </w:p>
          <w:p w14:paraId="35DF9649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项目二：数据库数据采集</w:t>
            </w:r>
          </w:p>
          <w:p w14:paraId="5D953E04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项目三：业务系统数据采集</w:t>
            </w:r>
          </w:p>
          <w:p w14:paraId="417914F1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项目四：网络数据采集</w:t>
            </w:r>
          </w:p>
          <w:p w14:paraId="6AE181E3">
            <w:pPr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项目五：数据预处理</w:t>
            </w:r>
          </w:p>
        </w:tc>
      </w:tr>
      <w:tr w14:paraId="4A49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5FB05FF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A21F45B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教材配套数据源脱密服务</w:t>
            </w:r>
          </w:p>
        </w:tc>
        <w:tc>
          <w:tcPr>
            <w:tcW w:w="0" w:type="auto"/>
            <w:vAlign w:val="center"/>
          </w:tcPr>
          <w:p w14:paraId="33A83667"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1项</w:t>
            </w:r>
          </w:p>
        </w:tc>
        <w:tc>
          <w:tcPr>
            <w:tcW w:w="0" w:type="auto"/>
            <w:vAlign w:val="center"/>
          </w:tcPr>
          <w:p w14:paraId="573BE41C"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提供两套完整、合规、可用的行业企业脱密数据源，所有数据源需完成正规脱密处理，彻底规避商业机密、用户隐私、企业敏感信息泄露风险，符合数据安全及出版合规要求。数据源需适配本教材五大项目教学内容及课程实训场景，能够全面支撑教材案例编写、实操教学演练等核心场景，保障教材内容贴合行业实际、实训教学落地可行。</w:t>
            </w:r>
          </w:p>
        </w:tc>
      </w:tr>
    </w:tbl>
    <w:p w14:paraId="66352612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2.服务要求与质量</w:t>
      </w:r>
    </w:p>
    <w:p w14:paraId="7A40A8FC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2.1项目实施全过程中，要求中标单位需建立高效响应服务机制，做到及时对接、快速响应、高效落实，全程配合甲方完成成果审核、整改及优化工作，保障项目高质量推进。</w:t>
      </w:r>
    </w:p>
    <w:p w14:paraId="2D54C050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2.2所有交付成果须符合国家出版行业标准、课程标准及本项目建设要求，内容无错误、无涉密信息、无版权争议。</w:t>
      </w:r>
    </w:p>
    <w:p w14:paraId="68414971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3.交付成果</w:t>
      </w:r>
    </w:p>
    <w:p w14:paraId="08D5036F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出版《数据采集与预处理》教材，最终的交付成果主要是一套可用于教学实施的实体与课程资源包，具体包括：</w:t>
      </w:r>
    </w:p>
    <w:p w14:paraId="1CC5EC9A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3.1纸质教材</w:t>
      </w:r>
    </w:p>
    <w:p w14:paraId="0B58F308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式出版的纸质图书，内容涵盖从数据采集与处理基础、数据库数据采集、业务系统数据采集、网络数据采集、数据预处理全链条流程，并配有案例、任务单、操作截图等，可直接作为学生上课用教材。交付时需提供至少10本纸质教材。</w:t>
      </w:r>
    </w:p>
    <w:p w14:paraId="165957B9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3.2课程资源包</w:t>
      </w:r>
    </w:p>
    <w:p w14:paraId="417ED899">
      <w:pPr>
        <w:spacing w:line="360" w:lineRule="auto"/>
        <w:ind w:firstLine="558" w:firstLineChars="266"/>
        <w:rPr>
          <w:rFonts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交付两套完整合规的脱密实验数据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源、教材配套PPT课件（按章节或者项目划分）等课程资源，实现满足日常课堂教学、学生实操实训的常态化使用需求。</w:t>
      </w:r>
    </w:p>
    <w:p w14:paraId="4D827F1C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3.教材出版服务</w:t>
      </w:r>
    </w:p>
    <w:p w14:paraId="2DB00FD6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3.1教材编辑出版服务​</w:t>
      </w:r>
    </w:p>
    <w:p w14:paraId="6A9E5AD1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需要针对职业教育特点，优化教材结构及内容，使其符合职业院校学生的认知规律和学习需求，保证教材的职业教育特色。优先选择有优秀职业教材出版经验和出版过国规教材的出版社，借助其优质出版资源与行业影响力，提升教材的权威性与传播力。</w:t>
      </w:r>
    </w:p>
    <w:p w14:paraId="5E4A649B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3.2版权要求</w:t>
      </w:r>
    </w:p>
    <w:p w14:paraId="7B80673D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项目所涉及的所有内容未经著作权人许可，不得擅自复制、传播、改编其享有版权的作品用于数字内容制作；不能抄袭他人的内容成果，避免侵犯他人的署名权、发表权、复制权等权利。</w:t>
      </w:r>
    </w:p>
    <w:p w14:paraId="54E67F04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3.3技术参数</w:t>
      </w:r>
    </w:p>
    <w:p w14:paraId="1E313C09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3.3.1出版技术参数</w:t>
      </w:r>
    </w:p>
    <w:p w14:paraId="7B55F622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①开本尺寸与页码</w:t>
      </w:r>
    </w:p>
    <w:p w14:paraId="69422D3B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开本：正文将采用16开本（188mmх260mm），误差≤1.5mm，成品裁切方正，歪斜≤2mm。</w:t>
      </w:r>
    </w:p>
    <w:p w14:paraId="76581935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页码：根据教材内容适配，不低于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</w:t>
      </w:r>
      <w:r>
        <w:rPr>
          <w:rFonts w:ascii="宋体" w:hAnsi="宋体" w:eastAsia="宋体" w:cs="宋体"/>
          <w:sz w:val="21"/>
          <w:szCs w:val="21"/>
          <w:highlight w:val="none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页</w:t>
      </w:r>
    </w:p>
    <w:p w14:paraId="23563383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②装帧方式</w:t>
      </w:r>
    </w:p>
    <w:p w14:paraId="16ACBCBB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平装胶装，封面牢固不开胶、书页平整不脱落，符合国家图书出版装帧规范。</w:t>
      </w:r>
    </w:p>
    <w:p w14:paraId="1AC36981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③插图与图表</w:t>
      </w:r>
    </w:p>
    <w:p w14:paraId="76DDE6BC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分辨率：不低于 300dpi</w:t>
      </w:r>
    </w:p>
    <w:p w14:paraId="3D78657B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格式：JPG、PNG、AI等格式</w:t>
      </w:r>
    </w:p>
    <w:p w14:paraId="5E4EC0FA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排版：图文对齐、统一字号行距、图表编号规范，版式整齐统一，无错位、无模糊压字</w:t>
      </w:r>
    </w:p>
    <w:p w14:paraId="08C25BA2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④印刷工艺</w:t>
      </w:r>
    </w:p>
    <w:p w14:paraId="2047DA50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采用四色胶印印刷，色彩均匀、无色差、无脏点、无漏印、无重影，符合国家出版物印刷质量标准。</w:t>
      </w:r>
    </w:p>
    <w:p w14:paraId="4C8DBD28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⑤纸张材质与克重</w:t>
      </w:r>
    </w:p>
    <w:p w14:paraId="2F2508C5">
      <w:pPr>
        <w:spacing w:line="360" w:lineRule="auto"/>
        <w:ind w:firstLine="558" w:firstLineChars="266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封面：封面使用不低于200g铜版纸覆膜印刷。</w:t>
      </w:r>
    </w:p>
    <w:p w14:paraId="38FA0190">
      <w:pPr>
        <w:spacing w:line="360" w:lineRule="auto"/>
        <w:ind w:firstLine="558" w:firstLineChars="266"/>
        <w:rPr>
          <w:rFonts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正文：使用不低于75g双胶纸</w:t>
      </w:r>
    </w:p>
    <w:p w14:paraId="65EF9B35">
      <w:pPr>
        <w:pStyle w:val="2"/>
        <w:rPr>
          <w:rFonts w:ascii="宋体" w:hAnsi="宋体" w:eastAsia="宋体" w:cs="宋体"/>
          <w:bCs/>
          <w:sz w:val="21"/>
          <w:szCs w:val="21"/>
          <w:highlight w:val="none"/>
        </w:rPr>
      </w:pPr>
    </w:p>
    <w:p w14:paraId="75DFFA2C">
      <w:pPr>
        <w:pStyle w:val="3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注：响应文件应提供具体的技术方案，包</w:t>
      </w:r>
      <w:r>
        <w:rPr>
          <w:rFonts w:hint="eastAsia" w:ascii="宋体" w:hAnsi="宋体" w:eastAsia="宋体" w:cs="宋体"/>
          <w:bCs/>
          <w:sz w:val="21"/>
          <w:szCs w:val="21"/>
        </w:rPr>
        <w:t>括对项目需求分析理解、具体服务范围、服务方式、服务流程、项目重点难点分析、合理化建议等。</w:t>
      </w:r>
    </w:p>
    <w:p w14:paraId="2162986B">
      <w:pPr>
        <w:pStyle w:val="3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3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3"/>
        <w:keepNext w:val="0"/>
        <w:keepLines w:val="0"/>
        <w:pageBreakBefore w:val="0"/>
        <w:widowControl/>
        <w:tabs>
          <w:tab w:val="left" w:pos="82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3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3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年7月8日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年7月14日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3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JSCS26060507-N75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JSCS26060507-N75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3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3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3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3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3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3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上海市黄浦区瞿溪路350号一楼健生招标会议室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55FE8F39">
      <w:pPr>
        <w:pStyle w:val="3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上海市黄浦区瞿溪路350号一楼健生招标会议室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65593D08">
      <w:pPr>
        <w:pStyle w:val="3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3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3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3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3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3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77AA2"/>
    <w:rsid w:val="03FA6D38"/>
    <w:rsid w:val="043C62D4"/>
    <w:rsid w:val="101F4A74"/>
    <w:rsid w:val="12DF135C"/>
    <w:rsid w:val="14A81E98"/>
    <w:rsid w:val="1A072B9A"/>
    <w:rsid w:val="274B74D8"/>
    <w:rsid w:val="336E4790"/>
    <w:rsid w:val="33745910"/>
    <w:rsid w:val="39687ECB"/>
    <w:rsid w:val="3E8B6399"/>
    <w:rsid w:val="4C9E7102"/>
    <w:rsid w:val="706109EE"/>
    <w:rsid w:val="747F28AF"/>
    <w:rsid w:val="7C7E4D85"/>
    <w:rsid w:val="7D5A0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3069</Words>
  <Characters>3413</Characters>
  <TotalTime>0</TotalTime>
  <ScaleCrop>false</ScaleCrop>
  <LinksUpToDate>false</LinksUpToDate>
  <CharactersWithSpaces>3537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2026-07-07T07:49:42Z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E172F8AD52804CCDB1F1FE911C846477_13</vt:lpwstr>
  </property>
</Properties>
</file>