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2B4811">
      <w:pPr>
        <w:spacing w:before="200" w:after="100"/>
        <w:jc w:val="center"/>
        <w:rPr>
          <w:rFonts w:hint="eastAsia" w:ascii="黑体" w:hAnsi="黑体" w:eastAsia="黑体"/>
          <w:b/>
          <w:bCs/>
          <w:sz w:val="28"/>
          <w:szCs w:val="28"/>
        </w:rPr>
      </w:pPr>
      <w:r>
        <w:rPr>
          <w:rFonts w:ascii="黑体" w:hAnsi="黑体" w:eastAsia="黑体"/>
          <w:b/>
          <w:bCs/>
          <w:sz w:val="28"/>
          <w:szCs w:val="28"/>
        </w:rPr>
        <w:t>智慧消防物联网感知系统-水系统升级</w:t>
      </w:r>
      <w:r>
        <w:rPr>
          <w:rFonts w:hint="eastAsia" w:ascii="黑体" w:hAnsi="黑体" w:eastAsia="黑体"/>
          <w:b/>
          <w:bCs/>
          <w:sz w:val="28"/>
          <w:szCs w:val="28"/>
        </w:rPr>
        <w:t>项目采购需求</w:t>
      </w:r>
    </w:p>
    <w:p w14:paraId="6AFBB77F">
      <w:p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一、项目名称</w:t>
      </w:r>
    </w:p>
    <w:p w14:paraId="5273AAD9">
      <w:pPr>
        <w:spacing w:line="360" w:lineRule="auto"/>
        <w:rPr>
          <w:rFonts w:hint="eastAsia" w:ascii="仿宋" w:hAnsi="仿宋" w:eastAsia="仿宋"/>
          <w:sz w:val="24"/>
          <w:szCs w:val="28"/>
        </w:rPr>
      </w:pPr>
      <w:r>
        <w:rPr>
          <w:rFonts w:hint="eastAsia" w:ascii="仿宋" w:hAnsi="仿宋" w:eastAsia="仿宋"/>
          <w:sz w:val="24"/>
          <w:szCs w:val="28"/>
        </w:rPr>
        <w:t>智慧消防物联网感知系统-水系统升级项目</w:t>
      </w:r>
    </w:p>
    <w:p w14:paraId="1334EE9A">
      <w:p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二、项目预算</w:t>
      </w:r>
    </w:p>
    <w:p w14:paraId="70B25120">
      <w:pPr>
        <w:spacing w:line="360" w:lineRule="auto"/>
        <w:rPr>
          <w:rFonts w:hint="eastAsia" w:ascii="仿宋" w:hAnsi="仿宋" w:eastAsia="仿宋"/>
          <w:sz w:val="24"/>
          <w:szCs w:val="28"/>
        </w:rPr>
      </w:pPr>
      <w:r>
        <w:rPr>
          <w:rFonts w:hint="eastAsia" w:ascii="仿宋" w:hAnsi="仿宋" w:eastAsia="仿宋"/>
          <w:sz w:val="24"/>
          <w:szCs w:val="28"/>
        </w:rPr>
        <w:t>5.2万人民币（大写：伍万贰仟圆整）</w:t>
      </w:r>
    </w:p>
    <w:p w14:paraId="03DF27E6">
      <w:pPr>
        <w:spacing w:line="360" w:lineRule="auto"/>
        <w:rPr>
          <w:rFonts w:hint="eastAsia" w:ascii="仿宋" w:hAnsi="仿宋" w:eastAsia="仿宋"/>
          <w:b/>
          <w:bCs/>
          <w:sz w:val="24"/>
          <w:szCs w:val="28"/>
          <w:highlight w:val="none"/>
        </w:rPr>
      </w:pPr>
      <w:r>
        <w:rPr>
          <w:rFonts w:hint="eastAsia" w:ascii="仿宋" w:hAnsi="仿宋" w:eastAsia="仿宋"/>
          <w:b/>
          <w:bCs/>
          <w:sz w:val="24"/>
          <w:szCs w:val="28"/>
          <w:highlight w:val="none"/>
        </w:rPr>
        <w:t>三、供应商资格要求</w:t>
      </w:r>
    </w:p>
    <w:p w14:paraId="18025AB3">
      <w:pPr>
        <w:spacing w:line="360" w:lineRule="auto"/>
        <w:rPr>
          <w:rFonts w:hint="eastAsia" w:ascii="仿宋" w:hAnsi="仿宋" w:eastAsia="仿宋"/>
          <w:sz w:val="24"/>
          <w:szCs w:val="28"/>
        </w:rPr>
      </w:pPr>
      <w:r>
        <w:rPr>
          <w:rFonts w:hint="eastAsia" w:ascii="仿宋" w:hAnsi="仿宋" w:eastAsia="仿宋"/>
          <w:sz w:val="24"/>
          <w:szCs w:val="28"/>
          <w:lang w:val="en-US" w:eastAsia="zh-CN"/>
        </w:rPr>
        <w:t>1、</w:t>
      </w:r>
      <w:r>
        <w:rPr>
          <w:rFonts w:hint="eastAsia" w:ascii="仿宋" w:hAnsi="仿宋" w:eastAsia="仿宋"/>
          <w:sz w:val="24"/>
          <w:szCs w:val="28"/>
        </w:rPr>
        <w:t>具有独立法人资格及相应经营范围</w:t>
      </w:r>
      <w:r>
        <w:rPr>
          <w:rFonts w:hint="eastAsia" w:ascii="仿宋" w:hAnsi="仿宋" w:eastAsia="仿宋"/>
          <w:sz w:val="24"/>
          <w:szCs w:val="28"/>
          <w:lang w:eastAsia="zh-CN"/>
        </w:rPr>
        <w:t>：</w:t>
      </w:r>
      <w:r>
        <w:rPr>
          <w:rFonts w:hint="eastAsia" w:ascii="仿宋" w:hAnsi="仿宋" w:eastAsia="仿宋"/>
          <w:sz w:val="24"/>
          <w:szCs w:val="28"/>
          <w:lang w:val="en-US" w:eastAsia="zh-CN"/>
        </w:rPr>
        <w:t>消防器材销售、消防技术服务、物联网设备销售、物联网应用服务、物联网技术服务</w:t>
      </w:r>
      <w:r>
        <w:rPr>
          <w:rFonts w:hint="eastAsia" w:ascii="仿宋" w:hAnsi="仿宋" w:eastAsia="仿宋"/>
          <w:sz w:val="24"/>
          <w:szCs w:val="28"/>
        </w:rPr>
        <w:t>；</w:t>
      </w:r>
    </w:p>
    <w:p w14:paraId="2D5E41B9">
      <w:pPr>
        <w:spacing w:line="360" w:lineRule="auto"/>
        <w:rPr>
          <w:rFonts w:hint="eastAsia" w:ascii="仿宋" w:hAnsi="仿宋" w:eastAsia="仿宋"/>
          <w:sz w:val="24"/>
          <w:szCs w:val="28"/>
        </w:rPr>
      </w:pPr>
      <w:r>
        <w:rPr>
          <w:rFonts w:hint="eastAsia" w:ascii="仿宋" w:hAnsi="仿宋" w:eastAsia="仿宋"/>
          <w:sz w:val="24"/>
          <w:szCs w:val="28"/>
          <w:lang w:val="en-US" w:eastAsia="zh-CN"/>
        </w:rPr>
        <w:t>2、</w:t>
      </w:r>
      <w:r>
        <w:rPr>
          <w:rFonts w:hint="eastAsia" w:ascii="仿宋" w:hAnsi="仿宋" w:eastAsia="仿宋"/>
          <w:sz w:val="24"/>
          <w:szCs w:val="28"/>
        </w:rPr>
        <w:t>具有国家或有关政府部门颁发的资质证明文件</w:t>
      </w:r>
      <w:r>
        <w:rPr>
          <w:rFonts w:hint="eastAsia" w:ascii="仿宋" w:hAnsi="仿宋" w:eastAsia="仿宋"/>
          <w:sz w:val="24"/>
          <w:szCs w:val="28"/>
          <w:lang w:eastAsia="zh-CN"/>
        </w:rPr>
        <w:t>：具备建筑</w:t>
      </w:r>
      <w:r>
        <w:rPr>
          <w:rFonts w:hint="eastAsia" w:ascii="仿宋" w:hAnsi="仿宋" w:eastAsia="仿宋"/>
          <w:sz w:val="24"/>
          <w:szCs w:val="28"/>
          <w:lang w:val="en-US" w:eastAsia="zh-CN"/>
        </w:rPr>
        <w:t>消防设施工程</w:t>
      </w:r>
      <w:r>
        <w:rPr>
          <w:rFonts w:hint="eastAsia" w:ascii="仿宋" w:hAnsi="仿宋" w:eastAsia="仿宋"/>
          <w:sz w:val="24"/>
          <w:szCs w:val="28"/>
          <w:lang w:eastAsia="zh-CN"/>
        </w:rPr>
        <w:t>专业承包二级及以上资质、具备建设部门颁发的《安全生产许可证》</w:t>
      </w:r>
      <w:r>
        <w:rPr>
          <w:rFonts w:hint="eastAsia" w:ascii="仿宋" w:hAnsi="仿宋" w:eastAsia="仿宋"/>
          <w:sz w:val="24"/>
          <w:szCs w:val="28"/>
        </w:rPr>
        <w:t>；</w:t>
      </w:r>
    </w:p>
    <w:p w14:paraId="140C0EA2">
      <w:pPr>
        <w:spacing w:line="360" w:lineRule="auto"/>
        <w:rPr>
          <w:rFonts w:hint="eastAsia" w:ascii="仿宋" w:hAnsi="仿宋" w:eastAsia="仿宋"/>
          <w:sz w:val="24"/>
          <w:szCs w:val="28"/>
        </w:rPr>
      </w:pPr>
      <w:r>
        <w:rPr>
          <w:rFonts w:hint="eastAsia" w:ascii="仿宋" w:hAnsi="仿宋" w:eastAsia="仿宋"/>
          <w:sz w:val="24"/>
          <w:szCs w:val="28"/>
          <w:lang w:val="en-US" w:eastAsia="zh-CN"/>
        </w:rPr>
        <w:t>3、</w:t>
      </w:r>
      <w:r>
        <w:rPr>
          <w:rFonts w:hint="eastAsia" w:ascii="仿宋" w:hAnsi="仿宋" w:eastAsia="仿宋"/>
          <w:sz w:val="24"/>
          <w:szCs w:val="28"/>
        </w:rPr>
        <w:t>具有履行合同所必需的设备和专业技术能力的证明材料；</w:t>
      </w:r>
    </w:p>
    <w:p w14:paraId="2D9A07B6">
      <w:pPr>
        <w:spacing w:line="360" w:lineRule="auto"/>
        <w:rPr>
          <w:rFonts w:hint="eastAsia" w:ascii="仿宋" w:hAnsi="仿宋" w:eastAsia="仿宋"/>
          <w:sz w:val="24"/>
          <w:szCs w:val="28"/>
        </w:rPr>
      </w:pPr>
      <w:r>
        <w:rPr>
          <w:rFonts w:hint="eastAsia" w:ascii="仿宋" w:hAnsi="仿宋" w:eastAsia="仿宋"/>
          <w:sz w:val="24"/>
          <w:szCs w:val="28"/>
          <w:lang w:val="en-US" w:eastAsia="zh-CN"/>
        </w:rPr>
        <w:t>4、</w:t>
      </w:r>
      <w:r>
        <w:rPr>
          <w:rFonts w:hint="eastAsia" w:ascii="仿宋" w:hAnsi="仿宋" w:eastAsia="仿宋"/>
          <w:sz w:val="24"/>
          <w:szCs w:val="28"/>
        </w:rPr>
        <w:t>具有良好的信誉和</w:t>
      </w:r>
      <w:r>
        <w:rPr>
          <w:rFonts w:hint="eastAsia" w:ascii="仿宋" w:hAnsi="仿宋" w:eastAsia="仿宋"/>
          <w:sz w:val="24"/>
          <w:szCs w:val="28"/>
          <w:lang w:val="en-US" w:eastAsia="zh-CN"/>
        </w:rPr>
        <w:t>相关</w:t>
      </w:r>
      <w:r>
        <w:rPr>
          <w:rFonts w:hint="eastAsia" w:ascii="仿宋" w:hAnsi="仿宋" w:eastAsia="仿宋"/>
          <w:sz w:val="24"/>
          <w:szCs w:val="28"/>
        </w:rPr>
        <w:t>业绩；</w:t>
      </w:r>
    </w:p>
    <w:p w14:paraId="0926A710">
      <w:pPr>
        <w:spacing w:line="360" w:lineRule="auto"/>
        <w:rPr>
          <w:rFonts w:hint="eastAsia" w:ascii="仿宋" w:hAnsi="仿宋" w:eastAsia="仿宋"/>
          <w:sz w:val="24"/>
          <w:szCs w:val="28"/>
        </w:rPr>
      </w:pPr>
      <w:r>
        <w:rPr>
          <w:rFonts w:hint="eastAsia" w:ascii="仿宋" w:hAnsi="仿宋" w:eastAsia="仿宋"/>
          <w:sz w:val="24"/>
          <w:szCs w:val="28"/>
          <w:lang w:val="en-US" w:eastAsia="zh-CN"/>
        </w:rPr>
        <w:t>5、</w:t>
      </w:r>
      <w:r>
        <w:rPr>
          <w:rFonts w:hint="eastAsia" w:ascii="仿宋" w:hAnsi="仿宋" w:eastAsia="仿宋"/>
          <w:sz w:val="24"/>
          <w:szCs w:val="28"/>
        </w:rPr>
        <w:t>近三年内，在经营活动中没有重大违法记录；</w:t>
      </w:r>
    </w:p>
    <w:p w14:paraId="2AE3D167">
      <w:pPr>
        <w:spacing w:line="360" w:lineRule="auto"/>
        <w:rPr>
          <w:rFonts w:hint="eastAsia" w:ascii="仿宋" w:hAnsi="仿宋" w:eastAsia="仿宋"/>
          <w:sz w:val="24"/>
          <w:szCs w:val="28"/>
        </w:rPr>
      </w:pPr>
      <w:r>
        <w:rPr>
          <w:rFonts w:hint="eastAsia" w:ascii="仿宋" w:hAnsi="仿宋" w:eastAsia="仿宋"/>
          <w:sz w:val="24"/>
          <w:szCs w:val="28"/>
          <w:lang w:val="en-US" w:eastAsia="zh-CN"/>
        </w:rPr>
        <w:t>6、</w:t>
      </w:r>
      <w:r>
        <w:rPr>
          <w:rFonts w:hint="eastAsia" w:ascii="仿宋" w:hAnsi="仿宋" w:eastAsia="仿宋"/>
          <w:sz w:val="24"/>
          <w:szCs w:val="28"/>
        </w:rPr>
        <w:t>单位负责人为同一人或者存在直接控股、管理关系的不同供应商，不得同时参加本采购项目投标；</w:t>
      </w:r>
    </w:p>
    <w:p w14:paraId="00E525ED">
      <w:pPr>
        <w:spacing w:line="360" w:lineRule="auto"/>
        <w:rPr>
          <w:rFonts w:hint="eastAsia" w:ascii="仿宋" w:hAnsi="仿宋" w:eastAsia="仿宋"/>
          <w:sz w:val="24"/>
          <w:szCs w:val="28"/>
        </w:rPr>
      </w:pPr>
      <w:r>
        <w:rPr>
          <w:rFonts w:hint="eastAsia" w:ascii="仿宋" w:hAnsi="仿宋" w:eastAsia="仿宋"/>
          <w:sz w:val="24"/>
          <w:szCs w:val="28"/>
          <w:lang w:val="en-US" w:eastAsia="zh-CN"/>
        </w:rPr>
        <w:t>7、</w:t>
      </w:r>
      <w:r>
        <w:rPr>
          <w:rFonts w:hint="eastAsia" w:ascii="仿宋" w:hAnsi="仿宋" w:eastAsia="仿宋"/>
          <w:sz w:val="24"/>
          <w:szCs w:val="28"/>
        </w:rPr>
        <w:t>未被国家财政部指定的信用记录查询渠道列入失信被执行主体、重大税收违法案件当事主体、政府采购严重违法失信行为当事主体等严重失信记录名单。以在“信用中国”网站（www.creditchina.gov.cn）和中国政府采购网（www.ccgp.gov.cn）查询的提交报价文件截止之日当天前三年内的信用记录为准。本项目不接受联合体投标。</w:t>
      </w:r>
    </w:p>
    <w:p w14:paraId="010474F4">
      <w:pPr>
        <w:spacing w:line="360" w:lineRule="auto"/>
        <w:rPr>
          <w:rFonts w:hint="default" w:ascii="仿宋" w:hAnsi="仿宋" w:eastAsia="仿宋"/>
          <w:b/>
          <w:bCs/>
          <w:sz w:val="24"/>
          <w:szCs w:val="28"/>
          <w:highlight w:val="none"/>
          <w:lang w:val="en-US" w:eastAsia="zh-CN"/>
        </w:rPr>
      </w:pPr>
      <w:r>
        <w:rPr>
          <w:rFonts w:hint="eastAsia" w:ascii="仿宋" w:hAnsi="仿宋" w:eastAsia="仿宋"/>
          <w:b/>
          <w:bCs/>
          <w:sz w:val="24"/>
          <w:szCs w:val="28"/>
          <w:highlight w:val="none"/>
        </w:rPr>
        <w:t>四、</w:t>
      </w:r>
      <w:r>
        <w:rPr>
          <w:rFonts w:hint="eastAsia" w:ascii="仿宋" w:hAnsi="仿宋" w:eastAsia="仿宋"/>
          <w:b/>
          <w:bCs/>
          <w:sz w:val="24"/>
          <w:szCs w:val="28"/>
          <w:highlight w:val="none"/>
          <w:lang w:val="en-US" w:eastAsia="zh-CN"/>
        </w:rPr>
        <w:t>服务要求</w:t>
      </w:r>
    </w:p>
    <w:p w14:paraId="23075A55">
      <w:pPr>
        <w:spacing w:line="360" w:lineRule="auto"/>
        <w:rPr>
          <w:rFonts w:hint="eastAsia" w:ascii="仿宋" w:hAnsi="仿宋" w:eastAsia="仿宋"/>
          <w:sz w:val="24"/>
          <w:szCs w:val="28"/>
        </w:rPr>
      </w:pPr>
      <w:r>
        <w:rPr>
          <w:rFonts w:hint="eastAsia" w:ascii="仿宋" w:hAnsi="仿宋" w:eastAsia="仿宋"/>
          <w:sz w:val="24"/>
          <w:szCs w:val="28"/>
        </w:rPr>
        <w:t>1、采购清单</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3077"/>
        <w:gridCol w:w="1071"/>
      </w:tblGrid>
      <w:tr w14:paraId="35BE6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Pr>
          <w:p w14:paraId="5B5689F3">
            <w:pPr>
              <w:spacing w:line="360" w:lineRule="auto"/>
              <w:rPr>
                <w:rFonts w:hint="eastAsia" w:ascii="仿宋" w:hAnsi="仿宋" w:eastAsia="仿宋"/>
                <w:sz w:val="24"/>
                <w:szCs w:val="28"/>
              </w:rPr>
            </w:pPr>
            <w:r>
              <w:rPr>
                <w:rFonts w:hint="eastAsia" w:ascii="仿宋" w:hAnsi="仿宋" w:eastAsia="仿宋"/>
                <w:sz w:val="24"/>
                <w:szCs w:val="28"/>
              </w:rPr>
              <w:t>序号</w:t>
            </w:r>
          </w:p>
        </w:tc>
        <w:tc>
          <w:tcPr>
            <w:tcW w:w="2074" w:type="dxa"/>
          </w:tcPr>
          <w:p w14:paraId="21F724FE">
            <w:pPr>
              <w:spacing w:line="360" w:lineRule="auto"/>
              <w:rPr>
                <w:rFonts w:hint="eastAsia" w:ascii="仿宋" w:hAnsi="仿宋" w:eastAsia="仿宋"/>
                <w:sz w:val="24"/>
                <w:szCs w:val="28"/>
              </w:rPr>
            </w:pPr>
            <w:r>
              <w:rPr>
                <w:rFonts w:hint="eastAsia" w:ascii="仿宋" w:hAnsi="仿宋" w:eastAsia="仿宋"/>
                <w:sz w:val="24"/>
                <w:szCs w:val="28"/>
              </w:rPr>
              <w:t>设备名称</w:t>
            </w:r>
          </w:p>
        </w:tc>
        <w:tc>
          <w:tcPr>
            <w:tcW w:w="3077" w:type="dxa"/>
          </w:tcPr>
          <w:p w14:paraId="2152E577">
            <w:pPr>
              <w:spacing w:line="360" w:lineRule="auto"/>
              <w:rPr>
                <w:rFonts w:hint="eastAsia" w:ascii="仿宋" w:hAnsi="仿宋" w:eastAsia="仿宋"/>
                <w:sz w:val="24"/>
                <w:szCs w:val="28"/>
              </w:rPr>
            </w:pPr>
            <w:r>
              <w:rPr>
                <w:rFonts w:hint="eastAsia" w:ascii="仿宋" w:hAnsi="仿宋" w:eastAsia="仿宋"/>
                <w:sz w:val="24"/>
                <w:szCs w:val="28"/>
              </w:rPr>
              <w:t>技术参数</w:t>
            </w:r>
          </w:p>
        </w:tc>
        <w:tc>
          <w:tcPr>
            <w:tcW w:w="1071" w:type="dxa"/>
          </w:tcPr>
          <w:p w14:paraId="0439BAC2">
            <w:pPr>
              <w:spacing w:line="360" w:lineRule="auto"/>
              <w:rPr>
                <w:rFonts w:hint="eastAsia" w:ascii="仿宋" w:hAnsi="仿宋" w:eastAsia="仿宋"/>
                <w:sz w:val="24"/>
                <w:szCs w:val="28"/>
              </w:rPr>
            </w:pPr>
            <w:r>
              <w:rPr>
                <w:rFonts w:hint="eastAsia" w:ascii="仿宋" w:hAnsi="仿宋" w:eastAsia="仿宋"/>
                <w:sz w:val="24"/>
                <w:szCs w:val="28"/>
              </w:rPr>
              <w:t>数量</w:t>
            </w:r>
          </w:p>
        </w:tc>
      </w:tr>
      <w:tr w14:paraId="0FD6C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7556B92D">
            <w:pPr>
              <w:spacing w:line="360" w:lineRule="auto"/>
              <w:rPr>
                <w:rFonts w:hint="eastAsia" w:ascii="仿宋" w:hAnsi="仿宋" w:eastAsia="仿宋"/>
                <w:sz w:val="24"/>
                <w:szCs w:val="28"/>
              </w:rPr>
            </w:pPr>
            <w:r>
              <w:rPr>
                <w:rFonts w:hint="eastAsia" w:ascii="仿宋" w:hAnsi="仿宋" w:eastAsia="仿宋"/>
                <w:sz w:val="24"/>
                <w:szCs w:val="28"/>
              </w:rPr>
              <w:t>1</w:t>
            </w:r>
          </w:p>
        </w:tc>
        <w:tc>
          <w:tcPr>
            <w:tcW w:w="2074" w:type="dxa"/>
            <w:vAlign w:val="center"/>
          </w:tcPr>
          <w:p w14:paraId="1B0AD89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物联网数据采集终端</w:t>
            </w:r>
          </w:p>
        </w:tc>
        <w:tc>
          <w:tcPr>
            <w:tcW w:w="3077" w:type="dxa"/>
            <w:vAlign w:val="center"/>
          </w:tcPr>
          <w:p w14:paraId="79356C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支持TCP/IP UDP Modbus等多种通</w:t>
            </w:r>
            <w:r>
              <w:rPr>
                <w:rFonts w:hint="eastAsia" w:ascii="仿宋" w:hAnsi="仿宋" w:eastAsia="仿宋"/>
                <w:sz w:val="24"/>
                <w:szCs w:val="28"/>
                <w:lang w:val="en-US" w:eastAsia="zh-CN"/>
              </w:rPr>
              <w:t>讯</w:t>
            </w:r>
            <w:r>
              <w:rPr>
                <w:rFonts w:hint="eastAsia" w:ascii="仿宋" w:hAnsi="仿宋" w:eastAsia="仿宋"/>
                <w:sz w:val="24"/>
                <w:szCs w:val="28"/>
              </w:rPr>
              <w:t>协议；</w:t>
            </w:r>
          </w:p>
          <w:p w14:paraId="16A9EBB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工作</w:t>
            </w:r>
            <w:r>
              <w:rPr>
                <w:rFonts w:hint="eastAsia" w:ascii="仿宋" w:hAnsi="仿宋" w:eastAsia="仿宋"/>
                <w:sz w:val="24"/>
                <w:szCs w:val="28"/>
                <w:lang w:val="en-US" w:eastAsia="zh-CN"/>
              </w:rPr>
              <w:t>环境</w:t>
            </w:r>
            <w:r>
              <w:rPr>
                <w:rFonts w:hint="eastAsia" w:ascii="仿宋" w:hAnsi="仿宋" w:eastAsia="仿宋"/>
                <w:sz w:val="24"/>
                <w:szCs w:val="28"/>
              </w:rPr>
              <w:t>温度</w:t>
            </w:r>
            <w:r>
              <w:rPr>
                <w:rFonts w:hint="eastAsia" w:ascii="仿宋" w:hAnsi="仿宋" w:eastAsia="仿宋"/>
                <w:sz w:val="24"/>
                <w:szCs w:val="28"/>
                <w:lang w:val="en-US" w:eastAsia="zh-CN"/>
              </w:rPr>
              <w:t>不小于</w:t>
            </w:r>
            <w:r>
              <w:rPr>
                <w:rFonts w:hint="eastAsia" w:ascii="仿宋" w:hAnsi="仿宋" w:eastAsia="仿宋"/>
                <w:sz w:val="24"/>
                <w:szCs w:val="28"/>
              </w:rPr>
              <w:t>：-20～70℃</w:t>
            </w:r>
            <w:r>
              <w:rPr>
                <w:rFonts w:hint="eastAsia" w:ascii="仿宋" w:hAnsi="仿宋" w:eastAsia="仿宋"/>
                <w:sz w:val="24"/>
                <w:szCs w:val="28"/>
                <w:lang w:eastAsia="zh-CN"/>
              </w:rPr>
              <w:t>，</w:t>
            </w:r>
            <w:r>
              <w:rPr>
                <w:rFonts w:hint="eastAsia" w:ascii="仿宋" w:hAnsi="仿宋" w:eastAsia="仿宋"/>
                <w:sz w:val="24"/>
                <w:szCs w:val="28"/>
              </w:rPr>
              <w:t>防护等级不低于 IP65；</w:t>
            </w:r>
          </w:p>
          <w:p w14:paraId="423BCAC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lang w:val="en-US" w:eastAsia="zh-CN"/>
              </w:rPr>
              <w:t>支持实时上传检测数据</w:t>
            </w:r>
            <w:r>
              <w:rPr>
                <w:rFonts w:hint="eastAsia" w:ascii="仿宋" w:hAnsi="仿宋" w:eastAsia="仿宋"/>
                <w:sz w:val="24"/>
                <w:szCs w:val="28"/>
              </w:rPr>
              <w:t>；</w:t>
            </w:r>
          </w:p>
          <w:p w14:paraId="19212D2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支持消防水泵开关量状态信号的采集和监测</w:t>
            </w:r>
            <w:r>
              <w:rPr>
                <w:rFonts w:hint="eastAsia" w:ascii="仿宋" w:hAnsi="仿宋" w:eastAsia="仿宋"/>
                <w:sz w:val="24"/>
                <w:szCs w:val="28"/>
                <w:lang w:eastAsia="zh-CN"/>
              </w:rPr>
              <w:t>；</w:t>
            </w:r>
          </w:p>
          <w:p w14:paraId="64D7D6A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支持设备固件升级，设备自身检测，设备综合性能诊断</w:t>
            </w:r>
            <w:r>
              <w:rPr>
                <w:rFonts w:hint="eastAsia" w:ascii="仿宋" w:hAnsi="仿宋" w:eastAsia="仿宋"/>
                <w:sz w:val="24"/>
                <w:szCs w:val="28"/>
                <w:lang w:eastAsia="zh-CN"/>
              </w:rPr>
              <w:t>；</w:t>
            </w:r>
          </w:p>
        </w:tc>
        <w:tc>
          <w:tcPr>
            <w:tcW w:w="1071" w:type="dxa"/>
            <w:vAlign w:val="center"/>
          </w:tcPr>
          <w:p w14:paraId="0B6DD6D1">
            <w:pPr>
              <w:spacing w:line="360" w:lineRule="auto"/>
              <w:rPr>
                <w:rFonts w:hint="eastAsia" w:ascii="仿宋" w:hAnsi="仿宋" w:eastAsia="仿宋"/>
                <w:sz w:val="24"/>
                <w:szCs w:val="28"/>
              </w:rPr>
            </w:pPr>
            <w:r>
              <w:rPr>
                <w:rFonts w:hint="eastAsia" w:ascii="仿宋" w:hAnsi="仿宋" w:eastAsia="仿宋"/>
                <w:sz w:val="24"/>
                <w:szCs w:val="28"/>
              </w:rPr>
              <w:t>4 套</w:t>
            </w:r>
          </w:p>
        </w:tc>
      </w:tr>
      <w:tr w14:paraId="74E42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3D80532D">
            <w:pPr>
              <w:spacing w:line="360" w:lineRule="auto"/>
              <w:rPr>
                <w:rFonts w:hint="eastAsia" w:ascii="仿宋" w:hAnsi="仿宋" w:eastAsia="仿宋"/>
                <w:sz w:val="24"/>
                <w:szCs w:val="28"/>
              </w:rPr>
            </w:pPr>
            <w:r>
              <w:rPr>
                <w:rFonts w:hint="eastAsia" w:ascii="仿宋" w:hAnsi="仿宋" w:eastAsia="仿宋"/>
                <w:sz w:val="24"/>
                <w:szCs w:val="28"/>
              </w:rPr>
              <w:t>2</w:t>
            </w:r>
          </w:p>
        </w:tc>
        <w:tc>
          <w:tcPr>
            <w:tcW w:w="2074" w:type="dxa"/>
            <w:vAlign w:val="center"/>
          </w:tcPr>
          <w:p w14:paraId="7F03BB9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无线压力变送器（含信号线）</w:t>
            </w:r>
          </w:p>
        </w:tc>
        <w:tc>
          <w:tcPr>
            <w:tcW w:w="3077" w:type="dxa"/>
            <w:vAlign w:val="center"/>
          </w:tcPr>
          <w:p w14:paraId="473B0E3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1. 量程：0-</w:t>
            </w:r>
            <w:r>
              <w:rPr>
                <w:rFonts w:hint="eastAsia" w:ascii="仿宋" w:hAnsi="仿宋" w:eastAsia="仿宋"/>
                <w:sz w:val="24"/>
                <w:szCs w:val="28"/>
                <w:lang w:val="en-US" w:eastAsia="zh-CN"/>
              </w:rPr>
              <w:t>2.0</w:t>
            </w:r>
            <w:r>
              <w:rPr>
                <w:rFonts w:hint="eastAsia" w:ascii="仿宋" w:hAnsi="仿宋" w:eastAsia="仿宋"/>
                <w:sz w:val="24"/>
                <w:szCs w:val="28"/>
              </w:rPr>
              <w:t>MPa，精度等级</w:t>
            </w:r>
            <w:r>
              <w:rPr>
                <w:rFonts w:hint="eastAsia" w:ascii="仿宋" w:hAnsi="仿宋" w:eastAsia="仿宋"/>
                <w:sz w:val="24"/>
                <w:szCs w:val="28"/>
                <w:lang w:eastAsia="zh-CN"/>
              </w:rPr>
              <w:t>：士1%FS，采样速率：</w:t>
            </w:r>
            <w:r>
              <w:rPr>
                <w:rFonts w:hint="eastAsia" w:ascii="仿宋" w:hAnsi="仿宋" w:eastAsia="仿宋"/>
                <w:sz w:val="24"/>
                <w:szCs w:val="28"/>
                <w:lang w:val="en-US" w:eastAsia="zh-CN"/>
              </w:rPr>
              <w:t>不小于</w:t>
            </w:r>
            <w:r>
              <w:rPr>
                <w:rFonts w:hint="eastAsia" w:ascii="仿宋" w:hAnsi="仿宋" w:eastAsia="仿宋"/>
                <w:sz w:val="24"/>
                <w:szCs w:val="28"/>
                <w:lang w:eastAsia="zh-CN"/>
              </w:rPr>
              <w:t>30次/分钟</w:t>
            </w:r>
            <w:r>
              <w:rPr>
                <w:rFonts w:hint="eastAsia" w:ascii="仿宋" w:hAnsi="仿宋" w:eastAsia="仿宋"/>
                <w:sz w:val="24"/>
                <w:szCs w:val="28"/>
              </w:rPr>
              <w:t>；</w:t>
            </w:r>
          </w:p>
          <w:p w14:paraId="3F9D927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 xml:space="preserve">2. </w:t>
            </w:r>
            <w:r>
              <w:rPr>
                <w:rFonts w:hint="eastAsia" w:ascii="仿宋" w:hAnsi="仿宋" w:eastAsia="仿宋"/>
                <w:sz w:val="24"/>
                <w:szCs w:val="28"/>
                <w:lang w:val="en-US" w:eastAsia="zh-CN"/>
              </w:rPr>
              <w:t>采用</w:t>
            </w:r>
            <w:r>
              <w:rPr>
                <w:rFonts w:hint="eastAsia" w:ascii="仿宋" w:hAnsi="仿宋" w:eastAsia="仿宋"/>
                <w:sz w:val="24"/>
                <w:szCs w:val="28"/>
              </w:rPr>
              <w:t xml:space="preserve"> 4G、NB-</w:t>
            </w:r>
            <w:r>
              <w:rPr>
                <w:rFonts w:hint="eastAsia" w:ascii="仿宋" w:hAnsi="仿宋" w:eastAsia="仿宋"/>
                <w:sz w:val="24"/>
                <w:szCs w:val="28"/>
                <w:lang w:val="en-US" w:eastAsia="zh-CN"/>
              </w:rPr>
              <w:t>Io</w:t>
            </w:r>
            <w:r>
              <w:rPr>
                <w:rFonts w:hint="eastAsia" w:ascii="仿宋" w:hAnsi="仿宋" w:eastAsia="仿宋"/>
                <w:sz w:val="24"/>
                <w:szCs w:val="28"/>
              </w:rPr>
              <w:t>T或LoRa无线通</w:t>
            </w:r>
            <w:r>
              <w:rPr>
                <w:rFonts w:hint="eastAsia" w:ascii="仿宋" w:hAnsi="仿宋" w:eastAsia="仿宋"/>
                <w:sz w:val="24"/>
                <w:szCs w:val="28"/>
                <w:lang w:val="en-US" w:eastAsia="zh-CN"/>
              </w:rPr>
              <w:t>信方式</w:t>
            </w:r>
            <w:r>
              <w:rPr>
                <w:rFonts w:hint="eastAsia" w:ascii="仿宋" w:hAnsi="仿宋" w:eastAsia="仿宋"/>
                <w:sz w:val="24"/>
                <w:szCs w:val="28"/>
              </w:rPr>
              <w:t>；</w:t>
            </w:r>
          </w:p>
          <w:p w14:paraId="1B08154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3. 具有低电量报警、高低压报警、波动报警设置等报警功能；</w:t>
            </w:r>
          </w:p>
          <w:p w14:paraId="202513E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4. 工作</w:t>
            </w:r>
            <w:r>
              <w:rPr>
                <w:rFonts w:hint="eastAsia" w:ascii="仿宋" w:hAnsi="仿宋" w:eastAsia="仿宋"/>
                <w:sz w:val="24"/>
                <w:szCs w:val="28"/>
                <w:lang w:val="en-US" w:eastAsia="zh-CN"/>
              </w:rPr>
              <w:t>环境</w:t>
            </w:r>
            <w:r>
              <w:rPr>
                <w:rFonts w:hint="eastAsia" w:ascii="仿宋" w:hAnsi="仿宋" w:eastAsia="仿宋"/>
                <w:sz w:val="24"/>
                <w:szCs w:val="28"/>
              </w:rPr>
              <w:t>温度</w:t>
            </w:r>
            <w:r>
              <w:rPr>
                <w:rFonts w:hint="eastAsia" w:ascii="仿宋" w:hAnsi="仿宋" w:eastAsia="仿宋"/>
                <w:sz w:val="24"/>
                <w:szCs w:val="28"/>
                <w:lang w:val="en-US" w:eastAsia="zh-CN"/>
              </w:rPr>
              <w:t>不小于</w:t>
            </w:r>
            <w:r>
              <w:rPr>
                <w:rFonts w:hint="eastAsia" w:ascii="仿宋" w:hAnsi="仿宋" w:eastAsia="仿宋"/>
                <w:sz w:val="24"/>
                <w:szCs w:val="28"/>
              </w:rPr>
              <w:t>：-20～70℃</w:t>
            </w:r>
            <w:r>
              <w:rPr>
                <w:rFonts w:hint="eastAsia" w:ascii="仿宋" w:hAnsi="仿宋" w:eastAsia="仿宋"/>
                <w:sz w:val="24"/>
                <w:szCs w:val="28"/>
                <w:lang w:eastAsia="zh-CN"/>
              </w:rPr>
              <w:t>，</w:t>
            </w:r>
            <w:r>
              <w:rPr>
                <w:rFonts w:hint="eastAsia" w:ascii="仿宋" w:hAnsi="仿宋" w:eastAsia="仿宋"/>
                <w:sz w:val="24"/>
                <w:szCs w:val="28"/>
              </w:rPr>
              <w:t>防护等级不低于 IP65；</w:t>
            </w:r>
          </w:p>
          <w:p w14:paraId="53BA86E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5. 支持远程参数配置(上发频率、采集频率、报警值等)，支持远程固件升级</w:t>
            </w:r>
            <w:r>
              <w:rPr>
                <w:rFonts w:hint="eastAsia" w:ascii="仿宋" w:hAnsi="仿宋" w:eastAsia="仿宋"/>
                <w:sz w:val="24"/>
                <w:szCs w:val="28"/>
                <w:lang w:eastAsia="zh-CN"/>
              </w:rPr>
              <w:t>，</w:t>
            </w:r>
            <w:r>
              <w:rPr>
                <w:rFonts w:hint="eastAsia" w:ascii="仿宋" w:hAnsi="仿宋" w:eastAsia="仿宋"/>
                <w:sz w:val="24"/>
                <w:szCs w:val="28"/>
              </w:rPr>
              <w:t>设备自身检测，设备综合性能诊断。</w:t>
            </w:r>
          </w:p>
        </w:tc>
        <w:tc>
          <w:tcPr>
            <w:tcW w:w="1071" w:type="dxa"/>
            <w:vAlign w:val="center"/>
          </w:tcPr>
          <w:p w14:paraId="3B883EF6">
            <w:pPr>
              <w:spacing w:line="360" w:lineRule="auto"/>
              <w:rPr>
                <w:rFonts w:hint="eastAsia" w:ascii="仿宋" w:hAnsi="仿宋" w:eastAsia="仿宋"/>
                <w:sz w:val="24"/>
                <w:szCs w:val="28"/>
              </w:rPr>
            </w:pPr>
            <w:r>
              <w:rPr>
                <w:rFonts w:hint="eastAsia" w:ascii="仿宋" w:hAnsi="仿宋" w:eastAsia="仿宋"/>
                <w:sz w:val="24"/>
                <w:szCs w:val="28"/>
              </w:rPr>
              <w:t>15 套</w:t>
            </w:r>
          </w:p>
        </w:tc>
      </w:tr>
      <w:tr w14:paraId="557A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vAlign w:val="center"/>
          </w:tcPr>
          <w:p w14:paraId="46B0F690">
            <w:pPr>
              <w:spacing w:line="360" w:lineRule="auto"/>
              <w:rPr>
                <w:rFonts w:hint="eastAsia" w:ascii="仿宋" w:hAnsi="仿宋" w:eastAsia="仿宋"/>
                <w:sz w:val="24"/>
                <w:szCs w:val="28"/>
              </w:rPr>
            </w:pPr>
            <w:r>
              <w:rPr>
                <w:rFonts w:hint="eastAsia" w:ascii="仿宋" w:hAnsi="仿宋" w:eastAsia="仿宋"/>
                <w:sz w:val="24"/>
                <w:szCs w:val="28"/>
              </w:rPr>
              <w:t>3</w:t>
            </w:r>
          </w:p>
        </w:tc>
        <w:tc>
          <w:tcPr>
            <w:tcW w:w="2074" w:type="dxa"/>
            <w:vAlign w:val="center"/>
          </w:tcPr>
          <w:p w14:paraId="0DEFC5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无线液位变送器</w:t>
            </w:r>
          </w:p>
        </w:tc>
        <w:tc>
          <w:tcPr>
            <w:tcW w:w="3077" w:type="dxa"/>
            <w:vAlign w:val="center"/>
          </w:tcPr>
          <w:p w14:paraId="50C2198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1. 测量范围：0-</w:t>
            </w:r>
            <w:r>
              <w:rPr>
                <w:rFonts w:hint="eastAsia" w:ascii="仿宋" w:hAnsi="仿宋" w:eastAsia="仿宋"/>
                <w:sz w:val="24"/>
                <w:szCs w:val="28"/>
                <w:lang w:val="en-US" w:eastAsia="zh-CN"/>
              </w:rPr>
              <w:t>8</w:t>
            </w:r>
            <w:r>
              <w:rPr>
                <w:rFonts w:hint="eastAsia" w:ascii="仿宋" w:hAnsi="仿宋" w:eastAsia="仿宋"/>
                <w:sz w:val="24"/>
                <w:szCs w:val="28"/>
              </w:rPr>
              <w:t>m，精度等级</w:t>
            </w:r>
            <w:r>
              <w:rPr>
                <w:rFonts w:hint="eastAsia" w:ascii="仿宋" w:hAnsi="仿宋" w:eastAsia="仿宋"/>
                <w:sz w:val="24"/>
                <w:szCs w:val="28"/>
                <w:lang w:eastAsia="zh-CN"/>
              </w:rPr>
              <w:t>：士1%FS，采样速率：</w:t>
            </w:r>
            <w:r>
              <w:rPr>
                <w:rFonts w:hint="eastAsia" w:ascii="仿宋" w:hAnsi="仿宋" w:eastAsia="仿宋"/>
                <w:sz w:val="24"/>
                <w:szCs w:val="28"/>
                <w:lang w:val="en-US" w:eastAsia="zh-CN"/>
              </w:rPr>
              <w:t>不小于</w:t>
            </w:r>
            <w:r>
              <w:rPr>
                <w:rFonts w:hint="eastAsia" w:ascii="仿宋" w:hAnsi="仿宋" w:eastAsia="仿宋"/>
                <w:sz w:val="24"/>
                <w:szCs w:val="28"/>
                <w:lang w:eastAsia="zh-CN"/>
              </w:rPr>
              <w:t>30次/分钟</w:t>
            </w:r>
            <w:r>
              <w:rPr>
                <w:rFonts w:hint="eastAsia" w:ascii="仿宋" w:hAnsi="仿宋" w:eastAsia="仿宋"/>
                <w:sz w:val="24"/>
                <w:szCs w:val="28"/>
              </w:rPr>
              <w:t>；；</w:t>
            </w:r>
          </w:p>
          <w:p w14:paraId="415A76E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2. 支持TCP/UDP/MQTT</w:t>
            </w:r>
            <w:r>
              <w:rPr>
                <w:rFonts w:hint="eastAsia" w:ascii="仿宋" w:hAnsi="仿宋" w:eastAsia="仿宋"/>
                <w:sz w:val="24"/>
                <w:szCs w:val="28"/>
                <w:lang w:val="en-US" w:eastAsia="zh-CN"/>
              </w:rPr>
              <w:t>等</w:t>
            </w:r>
            <w:r>
              <w:rPr>
                <w:rFonts w:hint="eastAsia" w:ascii="仿宋" w:hAnsi="仿宋" w:eastAsia="仿宋"/>
                <w:sz w:val="24"/>
                <w:szCs w:val="28"/>
              </w:rPr>
              <w:t>多种</w:t>
            </w:r>
            <w:r>
              <w:rPr>
                <w:rFonts w:hint="eastAsia" w:ascii="仿宋" w:hAnsi="仿宋" w:eastAsia="仿宋"/>
                <w:sz w:val="24"/>
                <w:szCs w:val="28"/>
                <w:lang w:val="en-US" w:eastAsia="zh-CN"/>
              </w:rPr>
              <w:t>通讯</w:t>
            </w:r>
            <w:r>
              <w:rPr>
                <w:rFonts w:hint="eastAsia" w:ascii="仿宋" w:hAnsi="仿宋" w:eastAsia="仿宋"/>
                <w:sz w:val="24"/>
                <w:szCs w:val="28"/>
              </w:rPr>
              <w:t>协议；</w:t>
            </w:r>
          </w:p>
          <w:p w14:paraId="46908FD4">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3. 工作</w:t>
            </w:r>
            <w:r>
              <w:rPr>
                <w:rFonts w:hint="eastAsia" w:ascii="仿宋" w:hAnsi="仿宋" w:eastAsia="仿宋"/>
                <w:sz w:val="24"/>
                <w:szCs w:val="28"/>
                <w:lang w:val="en-US" w:eastAsia="zh-CN"/>
              </w:rPr>
              <w:t>环境</w:t>
            </w:r>
            <w:r>
              <w:rPr>
                <w:rFonts w:hint="eastAsia" w:ascii="仿宋" w:hAnsi="仿宋" w:eastAsia="仿宋"/>
                <w:sz w:val="24"/>
                <w:szCs w:val="28"/>
              </w:rPr>
              <w:t>温度不小于：-20～70℃，防护等级不低于 IP65；；</w:t>
            </w:r>
          </w:p>
          <w:p w14:paraId="32EA80E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 xml:space="preserve">4. </w:t>
            </w:r>
            <w:r>
              <w:rPr>
                <w:rFonts w:hint="eastAsia" w:ascii="仿宋" w:hAnsi="仿宋" w:eastAsia="仿宋"/>
                <w:sz w:val="24"/>
                <w:szCs w:val="28"/>
                <w:lang w:val="en-US" w:eastAsia="zh-CN"/>
              </w:rPr>
              <w:t>具备</w:t>
            </w:r>
            <w:r>
              <w:rPr>
                <w:rFonts w:hint="eastAsia" w:ascii="仿宋" w:hAnsi="仿宋" w:eastAsia="仿宋"/>
                <w:sz w:val="24"/>
                <w:szCs w:val="28"/>
              </w:rPr>
              <w:t>预设高低液位报警点</w:t>
            </w:r>
            <w:r>
              <w:rPr>
                <w:rFonts w:hint="eastAsia" w:ascii="仿宋" w:hAnsi="仿宋" w:eastAsia="仿宋"/>
                <w:sz w:val="24"/>
                <w:szCs w:val="28"/>
                <w:lang w:val="en-US" w:eastAsia="zh-CN"/>
              </w:rPr>
              <w:t>功能</w:t>
            </w:r>
            <w:r>
              <w:rPr>
                <w:rFonts w:hint="eastAsia" w:ascii="仿宋" w:hAnsi="仿宋" w:eastAsia="仿宋"/>
                <w:sz w:val="24"/>
                <w:szCs w:val="28"/>
              </w:rPr>
              <w:t>，</w:t>
            </w:r>
            <w:r>
              <w:rPr>
                <w:rFonts w:hint="eastAsia" w:ascii="仿宋" w:hAnsi="仿宋" w:eastAsia="仿宋"/>
                <w:sz w:val="24"/>
                <w:szCs w:val="28"/>
                <w:lang w:val="en-US" w:eastAsia="zh-CN"/>
              </w:rPr>
              <w:t>以及</w:t>
            </w:r>
            <w:r>
              <w:rPr>
                <w:rFonts w:hint="eastAsia" w:ascii="仿宋" w:hAnsi="仿宋" w:eastAsia="仿宋"/>
                <w:sz w:val="24"/>
                <w:szCs w:val="28"/>
              </w:rPr>
              <w:t>事件上发和定时上发两种功能；</w:t>
            </w:r>
          </w:p>
          <w:p w14:paraId="5A9DBC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24"/>
                <w:szCs w:val="28"/>
              </w:rPr>
            </w:pPr>
            <w:r>
              <w:rPr>
                <w:rFonts w:hint="eastAsia" w:ascii="仿宋" w:hAnsi="仿宋" w:eastAsia="仿宋"/>
                <w:sz w:val="24"/>
                <w:szCs w:val="28"/>
              </w:rPr>
              <w:t>5. 支持远程参数配置(上发频率、采集频率、报警值等)，支持远程固件升级</w:t>
            </w:r>
            <w:r>
              <w:rPr>
                <w:rFonts w:hint="eastAsia" w:ascii="仿宋" w:hAnsi="仿宋" w:eastAsia="仿宋"/>
                <w:sz w:val="24"/>
                <w:szCs w:val="28"/>
                <w:lang w:eastAsia="zh-CN"/>
              </w:rPr>
              <w:t>，</w:t>
            </w:r>
            <w:r>
              <w:rPr>
                <w:rFonts w:hint="eastAsia" w:ascii="仿宋" w:hAnsi="仿宋" w:eastAsia="仿宋"/>
                <w:sz w:val="24"/>
                <w:szCs w:val="28"/>
              </w:rPr>
              <w:t>设备自身检测，设备综合性能诊断。</w:t>
            </w:r>
          </w:p>
        </w:tc>
        <w:tc>
          <w:tcPr>
            <w:tcW w:w="1071" w:type="dxa"/>
            <w:vAlign w:val="center"/>
          </w:tcPr>
          <w:p w14:paraId="6712C0C5">
            <w:pPr>
              <w:spacing w:line="360" w:lineRule="auto"/>
              <w:rPr>
                <w:rFonts w:hint="eastAsia" w:ascii="仿宋" w:hAnsi="仿宋" w:eastAsia="仿宋"/>
                <w:sz w:val="24"/>
                <w:szCs w:val="28"/>
              </w:rPr>
            </w:pPr>
            <w:r>
              <w:rPr>
                <w:rFonts w:hint="eastAsia" w:ascii="仿宋" w:hAnsi="仿宋" w:eastAsia="仿宋"/>
                <w:sz w:val="24"/>
                <w:szCs w:val="28"/>
              </w:rPr>
              <w:t>2 套</w:t>
            </w:r>
          </w:p>
        </w:tc>
      </w:tr>
    </w:tbl>
    <w:p w14:paraId="72A66351">
      <w:pPr>
        <w:spacing w:line="360" w:lineRule="auto"/>
        <w:rPr>
          <w:rFonts w:hint="eastAsia" w:ascii="仿宋" w:hAnsi="仿宋" w:eastAsia="仿宋"/>
          <w:sz w:val="24"/>
          <w:szCs w:val="28"/>
        </w:rPr>
      </w:pPr>
      <w:r>
        <w:rPr>
          <w:rFonts w:hint="eastAsia" w:ascii="仿宋" w:hAnsi="仿宋" w:eastAsia="仿宋"/>
          <w:sz w:val="24"/>
          <w:szCs w:val="28"/>
        </w:rPr>
        <w:t>2、主要技术指标及实施方案</w:t>
      </w:r>
    </w:p>
    <w:p w14:paraId="7CE62576">
      <w:pPr>
        <w:spacing w:line="360" w:lineRule="auto"/>
        <w:ind w:leftChars="100"/>
        <w:rPr>
          <w:rFonts w:hint="eastAsia" w:ascii="仿宋" w:hAnsi="仿宋" w:eastAsia="仿宋"/>
          <w:sz w:val="24"/>
          <w:szCs w:val="28"/>
        </w:rPr>
      </w:pPr>
      <w:r>
        <w:rPr>
          <w:rFonts w:hint="eastAsia" w:ascii="仿宋" w:hAnsi="仿宋" w:eastAsia="仿宋"/>
          <w:sz w:val="24"/>
          <w:szCs w:val="28"/>
        </w:rPr>
        <w:t>2.1 系统兼容性：</w:t>
      </w:r>
      <w:r>
        <w:rPr>
          <w:rFonts w:hint="eastAsia" w:ascii="仿宋" w:hAnsi="仿宋" w:eastAsia="仿宋"/>
          <w:sz w:val="24"/>
          <w:szCs w:val="28"/>
          <w:lang w:val="en-US" w:eastAsia="zh-CN"/>
        </w:rPr>
        <w:t>消防设施物联网系统应按照</w:t>
      </w:r>
      <w:r>
        <w:rPr>
          <w:rFonts w:hint="eastAsia" w:ascii="仿宋" w:hAnsi="仿宋" w:eastAsia="仿宋"/>
          <w:sz w:val="24"/>
          <w:szCs w:val="28"/>
        </w:rPr>
        <w:t>《上海市消防条例》</w:t>
      </w:r>
      <w:r>
        <w:rPr>
          <w:rFonts w:hint="eastAsia" w:ascii="仿宋" w:hAnsi="仿宋" w:eastAsia="仿宋"/>
          <w:sz w:val="24"/>
          <w:szCs w:val="28"/>
          <w:lang w:eastAsia="zh-CN"/>
        </w:rPr>
        <w:t>、</w:t>
      </w:r>
      <w:r>
        <w:rPr>
          <w:rFonts w:hint="eastAsia" w:ascii="仿宋" w:hAnsi="仿宋" w:eastAsia="仿宋"/>
          <w:sz w:val="24"/>
          <w:szCs w:val="28"/>
        </w:rPr>
        <w:t>《消防设施物联网系统技术标准》DG</w:t>
      </w:r>
      <w:r>
        <w:rPr>
          <w:rFonts w:hint="eastAsia" w:ascii="仿宋" w:hAnsi="仿宋" w:eastAsia="仿宋"/>
          <w:sz w:val="24"/>
          <w:szCs w:val="28"/>
          <w:lang w:val="en-US" w:eastAsia="zh-CN"/>
        </w:rPr>
        <w:t>/</w:t>
      </w:r>
      <w:r>
        <w:rPr>
          <w:rFonts w:hint="eastAsia" w:ascii="仿宋" w:hAnsi="仿宋" w:eastAsia="仿宋"/>
          <w:sz w:val="24"/>
          <w:szCs w:val="28"/>
        </w:rPr>
        <w:t>TJ 08-2251-2018</w:t>
      </w:r>
      <w:r>
        <w:rPr>
          <w:rFonts w:hint="eastAsia" w:ascii="仿宋" w:hAnsi="仿宋" w:eastAsia="仿宋"/>
          <w:sz w:val="24"/>
          <w:szCs w:val="28"/>
          <w:lang w:val="en-US" w:eastAsia="zh-CN"/>
        </w:rPr>
        <w:t>等有关规定进行设置，</w:t>
      </w:r>
      <w:r>
        <w:rPr>
          <w:rFonts w:hint="eastAsia" w:ascii="仿宋" w:hAnsi="仿宋" w:eastAsia="仿宋"/>
          <w:sz w:val="24"/>
          <w:szCs w:val="28"/>
        </w:rPr>
        <w:t>接入上海市“一网统管”消防安全风险防控体系，</w:t>
      </w:r>
      <w:r>
        <w:rPr>
          <w:rFonts w:hint="eastAsia" w:ascii="仿宋" w:hAnsi="仿宋" w:eastAsia="仿宋"/>
          <w:sz w:val="24"/>
          <w:szCs w:val="28"/>
          <w:lang w:val="en-US" w:eastAsia="zh-CN"/>
        </w:rPr>
        <w:t>即上海消防数据对接平台(http://iot.shxf-119.com/)</w:t>
      </w:r>
      <w:r>
        <w:rPr>
          <w:rFonts w:hint="eastAsia" w:ascii="仿宋" w:hAnsi="仿宋" w:eastAsia="仿宋"/>
          <w:sz w:val="24"/>
          <w:szCs w:val="28"/>
          <w:lang w:eastAsia="zh-CN"/>
        </w:rPr>
        <w:t>、</w:t>
      </w:r>
      <w:r>
        <w:rPr>
          <w:rFonts w:hint="eastAsia" w:ascii="仿宋" w:hAnsi="仿宋" w:eastAsia="仿宋"/>
          <w:sz w:val="24"/>
          <w:szCs w:val="28"/>
          <w:lang w:val="en-US" w:eastAsia="zh-CN"/>
        </w:rPr>
        <w:t>依照《消防设施物联网系统运行平台数据传输导则》DB31/T 1465-2024、《消防物联网数据对接平台API对接文档V3.1》将监测数据传输至平台，通过上海消防数据对接平台对接测试</w:t>
      </w:r>
      <w:r>
        <w:rPr>
          <w:rFonts w:hint="eastAsia" w:ascii="仿宋" w:hAnsi="仿宋" w:eastAsia="仿宋"/>
          <w:sz w:val="24"/>
          <w:szCs w:val="28"/>
        </w:rPr>
        <w:t>。</w:t>
      </w:r>
    </w:p>
    <w:p w14:paraId="24382338">
      <w:pPr>
        <w:spacing w:line="360" w:lineRule="auto"/>
        <w:ind w:leftChars="100"/>
        <w:rPr>
          <w:rFonts w:hint="eastAsia" w:ascii="仿宋" w:hAnsi="仿宋" w:eastAsia="仿宋"/>
          <w:sz w:val="24"/>
          <w:szCs w:val="28"/>
        </w:rPr>
      </w:pPr>
      <w:r>
        <w:rPr>
          <w:rFonts w:hint="eastAsia" w:ascii="仿宋" w:hAnsi="仿宋" w:eastAsia="仿宋"/>
          <w:sz w:val="24"/>
          <w:szCs w:val="28"/>
        </w:rPr>
        <w:t>2.2 安装调试：供应商需负责所有设备的现场勘察、安装、接线（含信号线敷设）、调试及系统对接工作，设备安装需符合</w:t>
      </w:r>
      <w:r>
        <w:rPr>
          <w:rFonts w:hint="eastAsia" w:ascii="仿宋" w:hAnsi="仿宋" w:eastAsia="仿宋"/>
          <w:sz w:val="24"/>
          <w:szCs w:val="28"/>
          <w:lang w:val="en-US" w:eastAsia="zh-CN"/>
        </w:rPr>
        <w:t>现行</w:t>
      </w:r>
      <w:r>
        <w:rPr>
          <w:rFonts w:hint="eastAsia" w:ascii="仿宋" w:hAnsi="仿宋" w:eastAsia="仿宋"/>
          <w:sz w:val="24"/>
          <w:szCs w:val="28"/>
        </w:rPr>
        <w:t>消防施工规范，不影响原有消防水系统正常运行。</w:t>
      </w:r>
    </w:p>
    <w:p w14:paraId="18ABDEDB">
      <w:pPr>
        <w:spacing w:line="360" w:lineRule="auto"/>
        <w:ind w:leftChars="100"/>
        <w:rPr>
          <w:rFonts w:hint="eastAsia" w:ascii="仿宋" w:hAnsi="仿宋" w:eastAsia="仿宋"/>
          <w:sz w:val="24"/>
          <w:szCs w:val="28"/>
        </w:rPr>
      </w:pPr>
      <w:r>
        <w:rPr>
          <w:rFonts w:hint="eastAsia" w:ascii="仿宋" w:hAnsi="仿宋" w:eastAsia="仿宋"/>
          <w:sz w:val="24"/>
          <w:szCs w:val="28"/>
        </w:rPr>
        <w:t>2.3 数据对接：完成设备与学校现有消防管理平台及市消防救援局物联网平台的对接，实现压力、液位数据的实时监测、历史存储、异常报警（超压、欠压、水位过低等）及远程查看功能。</w:t>
      </w:r>
    </w:p>
    <w:p w14:paraId="1491444A">
      <w:pPr>
        <w:spacing w:line="360" w:lineRule="auto"/>
        <w:ind w:leftChars="100"/>
        <w:rPr>
          <w:rFonts w:hint="eastAsia" w:ascii="仿宋" w:hAnsi="仿宋" w:eastAsia="仿宋"/>
          <w:sz w:val="24"/>
          <w:szCs w:val="28"/>
        </w:rPr>
      </w:pPr>
      <w:r>
        <w:rPr>
          <w:rFonts w:hint="eastAsia" w:ascii="仿宋" w:hAnsi="仿宋" w:eastAsia="仿宋"/>
          <w:sz w:val="24"/>
          <w:szCs w:val="28"/>
        </w:rPr>
        <w:t>2.4 培训服务：系统验收前，供应商需对学校消防管理人员进行不少于 1 次的现场操作培训，内容包括设备日常巡查、数据查看、报警处置等，确保操作人员熟练掌握系统使用方法。</w:t>
      </w:r>
    </w:p>
    <w:p w14:paraId="2F094A53">
      <w:pPr>
        <w:spacing w:line="360" w:lineRule="auto"/>
        <w:rPr>
          <w:rFonts w:hint="eastAsia" w:ascii="仿宋" w:hAnsi="仿宋" w:eastAsia="仿宋"/>
          <w:b/>
          <w:bCs/>
          <w:sz w:val="24"/>
          <w:szCs w:val="28"/>
        </w:rPr>
      </w:pPr>
      <w:r>
        <w:rPr>
          <w:rFonts w:hint="eastAsia" w:ascii="仿宋" w:hAnsi="仿宋" w:eastAsia="仿宋"/>
          <w:b/>
          <w:bCs/>
          <w:sz w:val="24"/>
          <w:szCs w:val="28"/>
        </w:rPr>
        <w:t>五、其它要求</w:t>
      </w:r>
    </w:p>
    <w:p w14:paraId="12750DE0">
      <w:pPr>
        <w:spacing w:line="360" w:lineRule="auto"/>
        <w:rPr>
          <w:rFonts w:hint="eastAsia" w:ascii="仿宋" w:hAnsi="仿宋" w:eastAsia="仿宋"/>
          <w:sz w:val="24"/>
          <w:szCs w:val="28"/>
        </w:rPr>
      </w:pPr>
      <w:r>
        <w:rPr>
          <w:rFonts w:hint="eastAsia" w:ascii="仿宋" w:hAnsi="仿宋" w:eastAsia="仿宋"/>
          <w:sz w:val="24"/>
          <w:szCs w:val="28"/>
        </w:rPr>
        <w:t>1、</w:t>
      </w:r>
      <w:r>
        <w:rPr>
          <w:rFonts w:hint="eastAsia" w:ascii="仿宋" w:hAnsi="仿宋" w:eastAsia="仿宋"/>
          <w:sz w:val="24"/>
          <w:szCs w:val="28"/>
          <w:lang w:val="en-US" w:eastAsia="zh-CN"/>
        </w:rPr>
        <w:t>服务期限</w:t>
      </w:r>
      <w:r>
        <w:rPr>
          <w:rFonts w:hint="eastAsia" w:ascii="仿宋" w:hAnsi="仿宋" w:eastAsia="仿宋"/>
          <w:sz w:val="24"/>
          <w:szCs w:val="28"/>
        </w:rPr>
        <w:t>及地点</w:t>
      </w:r>
    </w:p>
    <w:p w14:paraId="4DDF3639">
      <w:pPr>
        <w:spacing w:line="360" w:lineRule="auto"/>
        <w:rPr>
          <w:rFonts w:hint="eastAsia" w:ascii="仿宋" w:hAnsi="仿宋" w:eastAsia="仿宋"/>
          <w:sz w:val="24"/>
          <w:szCs w:val="28"/>
        </w:rPr>
      </w:pPr>
      <w:r>
        <w:rPr>
          <w:rFonts w:hint="eastAsia" w:ascii="仿宋" w:hAnsi="仿宋" w:eastAsia="仿宋"/>
          <w:sz w:val="24"/>
          <w:szCs w:val="28"/>
          <w:lang w:val="en-US" w:eastAsia="zh-CN"/>
        </w:rPr>
        <w:t>服务期限</w:t>
      </w:r>
      <w:r>
        <w:rPr>
          <w:rFonts w:hint="eastAsia" w:ascii="仿宋" w:hAnsi="仿宋" w:eastAsia="仿宋"/>
          <w:sz w:val="24"/>
          <w:szCs w:val="28"/>
        </w:rPr>
        <w:t>：</w:t>
      </w:r>
      <w:r>
        <w:rPr>
          <w:rFonts w:hint="eastAsia" w:ascii="仿宋" w:hAnsi="仿宋" w:eastAsia="仿宋"/>
          <w:sz w:val="24"/>
          <w:szCs w:val="28"/>
          <w:lang w:val="en-US" w:eastAsia="zh-CN"/>
        </w:rPr>
        <w:t>自</w:t>
      </w:r>
      <w:r>
        <w:rPr>
          <w:rFonts w:hint="eastAsia" w:ascii="仿宋" w:hAnsi="仿宋" w:eastAsia="仿宋"/>
          <w:sz w:val="24"/>
          <w:szCs w:val="28"/>
        </w:rPr>
        <w:t xml:space="preserve">合同签订后 </w:t>
      </w:r>
      <w:r>
        <w:rPr>
          <w:rFonts w:hint="eastAsia" w:ascii="仿宋" w:hAnsi="仿宋" w:eastAsia="仿宋"/>
          <w:sz w:val="24"/>
          <w:szCs w:val="28"/>
          <w:lang w:val="en-US" w:eastAsia="zh-CN"/>
        </w:rPr>
        <w:t>30</w:t>
      </w:r>
      <w:r>
        <w:rPr>
          <w:rFonts w:hint="eastAsia" w:ascii="仿宋" w:hAnsi="仿宋" w:eastAsia="仿宋"/>
          <w:sz w:val="24"/>
          <w:szCs w:val="28"/>
        </w:rPr>
        <w:t>日历天内完成全部设备供货、安装及调试。</w:t>
      </w:r>
    </w:p>
    <w:p w14:paraId="072FFBF5">
      <w:pPr>
        <w:spacing w:line="360" w:lineRule="auto"/>
        <w:rPr>
          <w:rFonts w:hint="eastAsia" w:ascii="仿宋" w:hAnsi="仿宋" w:eastAsia="仿宋"/>
          <w:sz w:val="24"/>
          <w:szCs w:val="28"/>
        </w:rPr>
      </w:pPr>
      <w:r>
        <w:rPr>
          <w:rFonts w:hint="eastAsia" w:ascii="仿宋" w:hAnsi="仿宋" w:eastAsia="仿宋"/>
          <w:sz w:val="24"/>
          <w:szCs w:val="28"/>
          <w:lang w:val="en-US" w:eastAsia="zh-CN"/>
        </w:rPr>
        <w:t>服务</w:t>
      </w:r>
      <w:r>
        <w:rPr>
          <w:rFonts w:hint="eastAsia" w:ascii="仿宋" w:hAnsi="仿宋" w:eastAsia="仿宋"/>
          <w:sz w:val="24"/>
          <w:szCs w:val="28"/>
        </w:rPr>
        <w:t>地点：</w:t>
      </w:r>
      <w:r>
        <w:rPr>
          <w:rFonts w:hint="eastAsia" w:ascii="仿宋" w:hAnsi="仿宋" w:eastAsia="仿宋"/>
          <w:sz w:val="24"/>
          <w:szCs w:val="28"/>
          <w:lang w:val="en-US" w:eastAsia="zh-CN"/>
        </w:rPr>
        <w:t>徐汇区百色支路35号</w:t>
      </w:r>
      <w:r>
        <w:rPr>
          <w:rFonts w:hint="eastAsia" w:ascii="仿宋" w:hAnsi="仿宋" w:eastAsia="仿宋"/>
          <w:sz w:val="24"/>
          <w:szCs w:val="28"/>
        </w:rPr>
        <w:t>上海市工商外国语学校</w:t>
      </w:r>
      <w:r>
        <w:rPr>
          <w:rFonts w:hint="eastAsia" w:ascii="仿宋" w:hAnsi="仿宋" w:eastAsia="仿宋"/>
          <w:sz w:val="24"/>
          <w:szCs w:val="28"/>
          <w:lang w:val="en-US" w:eastAsia="zh-CN"/>
        </w:rPr>
        <w:t>徐汇校区</w:t>
      </w:r>
      <w:r>
        <w:rPr>
          <w:rFonts w:hint="eastAsia" w:ascii="仿宋" w:hAnsi="仿宋" w:eastAsia="仿宋"/>
          <w:sz w:val="24"/>
          <w:szCs w:val="28"/>
        </w:rPr>
        <w:t>指定位置（校内消防水泵房、水箱间等）。</w:t>
      </w:r>
    </w:p>
    <w:p w14:paraId="2FA1F4F0">
      <w:pPr>
        <w:spacing w:line="360" w:lineRule="auto"/>
        <w:rPr>
          <w:rFonts w:hint="eastAsia" w:ascii="仿宋" w:hAnsi="仿宋" w:eastAsia="仿宋"/>
          <w:sz w:val="24"/>
          <w:szCs w:val="28"/>
        </w:rPr>
      </w:pPr>
      <w:r>
        <w:rPr>
          <w:rFonts w:hint="eastAsia" w:ascii="仿宋" w:hAnsi="仿宋" w:eastAsia="仿宋"/>
          <w:sz w:val="24"/>
          <w:szCs w:val="28"/>
        </w:rPr>
        <w:t>2、质保期: 自验收合格后 1 年。</w:t>
      </w:r>
    </w:p>
    <w:p w14:paraId="733E5541">
      <w:pPr>
        <w:spacing w:line="360" w:lineRule="auto"/>
        <w:rPr>
          <w:rFonts w:hint="eastAsia" w:ascii="仿宋" w:hAnsi="仿宋" w:eastAsia="仿宋"/>
          <w:sz w:val="24"/>
          <w:szCs w:val="28"/>
        </w:rPr>
      </w:pPr>
      <w:r>
        <w:rPr>
          <w:rFonts w:hint="eastAsia" w:ascii="仿宋" w:hAnsi="仿宋" w:eastAsia="仿宋"/>
          <w:sz w:val="24"/>
          <w:szCs w:val="28"/>
        </w:rPr>
        <w:t>3、付款方式</w:t>
      </w:r>
    </w:p>
    <w:p w14:paraId="7F589BB4">
      <w:pPr>
        <w:spacing w:line="360" w:lineRule="auto"/>
        <w:rPr>
          <w:rFonts w:hint="eastAsia" w:ascii="仿宋" w:hAnsi="仿宋" w:eastAsia="仿宋"/>
          <w:sz w:val="24"/>
          <w:szCs w:val="28"/>
        </w:rPr>
      </w:pPr>
      <w:r>
        <w:rPr>
          <w:rFonts w:hint="eastAsia" w:ascii="仿宋" w:hAnsi="仿宋" w:eastAsia="仿宋"/>
          <w:sz w:val="24"/>
          <w:szCs w:val="28"/>
          <w:lang w:val="en-US" w:eastAsia="zh-CN"/>
        </w:rPr>
        <w:t>自合同签订</w:t>
      </w:r>
      <w:r>
        <w:rPr>
          <w:rFonts w:hint="eastAsia" w:ascii="仿宋" w:hAnsi="仿宋" w:eastAsia="仿宋"/>
          <w:sz w:val="24"/>
          <w:szCs w:val="28"/>
        </w:rPr>
        <w:t>后 10 个工作日内，支付合同总价的 30%；</w:t>
      </w:r>
      <w:r>
        <w:rPr>
          <w:rFonts w:hint="eastAsia" w:ascii="仿宋" w:hAnsi="仿宋" w:eastAsia="仿宋"/>
          <w:sz w:val="24"/>
          <w:szCs w:val="28"/>
          <w:lang w:val="en-US" w:eastAsia="zh-CN"/>
        </w:rPr>
        <w:t>全部</w:t>
      </w:r>
      <w:r>
        <w:rPr>
          <w:rFonts w:hint="eastAsia" w:ascii="仿宋" w:hAnsi="仿宋" w:eastAsia="仿宋"/>
          <w:sz w:val="24"/>
          <w:szCs w:val="28"/>
        </w:rPr>
        <w:t>货物</w:t>
      </w:r>
      <w:r>
        <w:rPr>
          <w:rFonts w:hint="eastAsia" w:ascii="仿宋" w:hAnsi="仿宋" w:eastAsia="仿宋"/>
          <w:sz w:val="24"/>
          <w:szCs w:val="28"/>
          <w:lang w:val="en-US" w:eastAsia="zh-CN"/>
        </w:rPr>
        <w:t>安装、</w:t>
      </w:r>
      <w:r>
        <w:rPr>
          <w:rFonts w:hint="eastAsia" w:ascii="仿宋" w:hAnsi="仿宋" w:eastAsia="仿宋"/>
          <w:sz w:val="24"/>
          <w:szCs w:val="28"/>
        </w:rPr>
        <w:t>调试验收通过</w:t>
      </w:r>
      <w:r>
        <w:rPr>
          <w:rFonts w:hint="eastAsia" w:ascii="仿宋" w:hAnsi="仿宋" w:eastAsia="仿宋"/>
          <w:sz w:val="24"/>
          <w:szCs w:val="28"/>
          <w:lang w:eastAsia="zh-CN"/>
        </w:rPr>
        <w:t>，</w:t>
      </w:r>
      <w:r>
        <w:rPr>
          <w:rFonts w:hint="eastAsia" w:ascii="仿宋" w:hAnsi="仿宋" w:eastAsia="仿宋"/>
          <w:sz w:val="24"/>
          <w:szCs w:val="28"/>
          <w:lang w:val="en-US" w:eastAsia="zh-CN"/>
        </w:rPr>
        <w:t>并取得《上海消防数据对接平台对接测试告知书》</w:t>
      </w:r>
      <w:r>
        <w:rPr>
          <w:rFonts w:hint="eastAsia" w:ascii="仿宋" w:hAnsi="仿宋" w:eastAsia="仿宋"/>
          <w:sz w:val="24"/>
          <w:szCs w:val="28"/>
        </w:rPr>
        <w:t>后</w:t>
      </w:r>
      <w:r>
        <w:rPr>
          <w:rFonts w:hint="eastAsia" w:ascii="仿宋" w:hAnsi="仿宋" w:eastAsia="仿宋"/>
          <w:sz w:val="24"/>
          <w:szCs w:val="28"/>
          <w:lang w:eastAsia="zh-CN"/>
        </w:rPr>
        <w:t>，</w:t>
      </w:r>
      <w:r>
        <w:rPr>
          <w:rFonts w:hint="eastAsia" w:ascii="仿宋" w:hAnsi="仿宋" w:eastAsia="仿宋"/>
          <w:sz w:val="24"/>
          <w:szCs w:val="28"/>
        </w:rPr>
        <w:t xml:space="preserve"> 10 个工作日内，支付合同总价的 </w:t>
      </w:r>
      <w:r>
        <w:rPr>
          <w:rFonts w:hint="eastAsia" w:ascii="仿宋" w:hAnsi="仿宋" w:eastAsia="仿宋"/>
          <w:sz w:val="24"/>
          <w:szCs w:val="28"/>
          <w:lang w:val="en-US" w:eastAsia="zh-CN"/>
        </w:rPr>
        <w:t>100</w:t>
      </w:r>
      <w:r>
        <w:rPr>
          <w:rFonts w:hint="eastAsia" w:ascii="仿宋" w:hAnsi="仿宋" w:eastAsia="仿宋"/>
          <w:sz w:val="24"/>
          <w:szCs w:val="28"/>
        </w:rPr>
        <w:t>%；</w:t>
      </w:r>
    </w:p>
    <w:p w14:paraId="7EAF5469">
      <w:pPr>
        <w:spacing w:line="360" w:lineRule="auto"/>
        <w:rPr>
          <w:rFonts w:hint="eastAsia" w:ascii="仿宋" w:hAnsi="仿宋" w:eastAsia="仿宋"/>
          <w:sz w:val="24"/>
          <w:szCs w:val="28"/>
        </w:rPr>
      </w:pPr>
      <w:r>
        <w:rPr>
          <w:rFonts w:hint="eastAsia" w:ascii="仿宋" w:hAnsi="仿宋" w:eastAsia="仿宋"/>
          <w:sz w:val="24"/>
          <w:szCs w:val="28"/>
        </w:rPr>
        <w:t>4、验收要求</w:t>
      </w:r>
    </w:p>
    <w:p w14:paraId="5BF3077E">
      <w:pPr>
        <w:spacing w:line="360" w:lineRule="auto"/>
        <w:rPr>
          <w:rFonts w:hint="eastAsia" w:ascii="仿宋" w:hAnsi="仿宋" w:eastAsia="仿宋"/>
          <w:sz w:val="24"/>
          <w:szCs w:val="28"/>
        </w:rPr>
      </w:pPr>
      <w:r>
        <w:rPr>
          <w:rFonts w:hint="eastAsia" w:ascii="仿宋" w:hAnsi="仿宋" w:eastAsia="仿宋"/>
          <w:sz w:val="24"/>
          <w:szCs w:val="28"/>
        </w:rPr>
        <w:t>（1）设备品牌、规格型号、数量符合采购清单要求，外观完好无损；</w:t>
      </w:r>
    </w:p>
    <w:p w14:paraId="157363FD">
      <w:pPr>
        <w:spacing w:line="360" w:lineRule="auto"/>
        <w:rPr>
          <w:rFonts w:hint="eastAsia" w:ascii="仿宋" w:hAnsi="仿宋" w:eastAsia="仿宋"/>
          <w:sz w:val="24"/>
          <w:szCs w:val="28"/>
        </w:rPr>
      </w:pPr>
      <w:r>
        <w:rPr>
          <w:rFonts w:hint="eastAsia" w:ascii="仿宋" w:hAnsi="仿宋" w:eastAsia="仿宋"/>
          <w:sz w:val="24"/>
          <w:szCs w:val="28"/>
        </w:rPr>
        <w:t>（2）所有设备运行正常，数据采集准确，传输稳定，报警功能灵敏可靠；</w:t>
      </w:r>
    </w:p>
    <w:p w14:paraId="06CF9404">
      <w:pPr>
        <w:spacing w:line="360" w:lineRule="auto"/>
        <w:rPr>
          <w:rFonts w:hint="eastAsia" w:ascii="仿宋" w:hAnsi="仿宋" w:eastAsia="仿宋"/>
          <w:sz w:val="24"/>
          <w:szCs w:val="28"/>
          <w:lang w:eastAsia="zh-CN"/>
        </w:rPr>
      </w:pPr>
      <w:r>
        <w:rPr>
          <w:rFonts w:hint="eastAsia" w:ascii="仿宋" w:hAnsi="仿宋" w:eastAsia="仿宋"/>
          <w:sz w:val="24"/>
          <w:szCs w:val="28"/>
        </w:rPr>
        <w:t>（3）成功接入上海市“一网统管”消防安全风险防控体系及学校现有消防管理平台，实现数据实时共享；通过上海消防数据对接平台对接测试</w:t>
      </w:r>
      <w:r>
        <w:rPr>
          <w:rFonts w:hint="eastAsia" w:ascii="仿宋" w:hAnsi="仿宋" w:eastAsia="仿宋"/>
          <w:sz w:val="24"/>
          <w:szCs w:val="28"/>
          <w:lang w:eastAsia="zh-CN"/>
        </w:rPr>
        <w:t>，</w:t>
      </w:r>
      <w:r>
        <w:rPr>
          <w:rFonts w:hint="eastAsia" w:ascii="仿宋" w:hAnsi="仿宋" w:eastAsia="仿宋"/>
          <w:sz w:val="24"/>
          <w:szCs w:val="28"/>
          <w:lang w:val="en-US" w:eastAsia="zh-CN"/>
        </w:rPr>
        <w:t>取得《上海消防数据对接平台对接测试告知书》</w:t>
      </w:r>
      <w:r>
        <w:rPr>
          <w:rFonts w:hint="eastAsia" w:ascii="仿宋" w:hAnsi="仿宋" w:eastAsia="仿宋"/>
          <w:sz w:val="24"/>
          <w:szCs w:val="28"/>
          <w:lang w:eastAsia="zh-CN"/>
        </w:rPr>
        <w:t>。</w:t>
      </w:r>
    </w:p>
    <w:p w14:paraId="678E5F83">
      <w:pPr>
        <w:spacing w:line="360" w:lineRule="auto"/>
        <w:rPr>
          <w:rFonts w:hint="eastAsia" w:ascii="仿宋" w:hAnsi="仿宋" w:eastAsia="仿宋"/>
          <w:sz w:val="24"/>
          <w:szCs w:val="28"/>
        </w:rPr>
      </w:pPr>
      <w:r>
        <w:rPr>
          <w:rFonts w:hint="eastAsia" w:ascii="仿宋" w:hAnsi="仿宋" w:eastAsia="仿宋"/>
          <w:sz w:val="24"/>
          <w:szCs w:val="28"/>
        </w:rPr>
        <w:t>（4）提供完整的竣工资料（含设备合格证、说明书、系统拓扑图、调试记录、操作手册等），培训记录齐全。</w:t>
      </w:r>
    </w:p>
    <w:p w14:paraId="036D4BBB">
      <w:pPr>
        <w:spacing w:line="360" w:lineRule="auto"/>
        <w:rPr>
          <w:rFonts w:hint="eastAsia" w:ascii="仿宋" w:hAnsi="仿宋" w:eastAsia="仿宋"/>
          <w:sz w:val="24"/>
          <w:szCs w:val="28"/>
        </w:rPr>
      </w:pPr>
      <w:r>
        <w:rPr>
          <w:rFonts w:hint="eastAsia" w:ascii="仿宋" w:hAnsi="仿宋" w:eastAsia="仿宋"/>
          <w:sz w:val="24"/>
          <w:szCs w:val="28"/>
        </w:rPr>
        <w:t>5、售后服务要求</w:t>
      </w:r>
    </w:p>
    <w:p w14:paraId="0DBD1DA8">
      <w:pPr>
        <w:spacing w:line="360" w:lineRule="auto"/>
        <w:rPr>
          <w:rFonts w:hint="eastAsia" w:ascii="仿宋" w:hAnsi="仿宋" w:eastAsia="仿宋"/>
          <w:sz w:val="24"/>
          <w:szCs w:val="28"/>
        </w:rPr>
      </w:pPr>
      <w:r>
        <w:rPr>
          <w:rFonts w:hint="eastAsia" w:ascii="仿宋" w:hAnsi="仿宋" w:eastAsia="仿宋"/>
          <w:sz w:val="24"/>
          <w:szCs w:val="28"/>
        </w:rPr>
        <w:t>（1）质保期内提供 7×24 小时电话技术支持，终身维护；</w:t>
      </w:r>
    </w:p>
    <w:p w14:paraId="2B27683C">
      <w:pPr>
        <w:spacing w:line="360" w:lineRule="auto"/>
        <w:rPr>
          <w:rFonts w:hint="eastAsia" w:ascii="仿宋" w:hAnsi="仿宋" w:eastAsia="仿宋"/>
          <w:sz w:val="24"/>
          <w:szCs w:val="28"/>
        </w:rPr>
      </w:pPr>
      <w:r>
        <w:rPr>
          <w:rFonts w:hint="eastAsia" w:ascii="仿宋" w:hAnsi="仿宋" w:eastAsia="仿宋"/>
          <w:sz w:val="24"/>
          <w:szCs w:val="28"/>
        </w:rPr>
        <w:t>（2）定期回访（每季度至少 1 次），检查设备运行状态，及时排除隐患；</w:t>
      </w:r>
    </w:p>
    <w:p w14:paraId="21D69419">
      <w:pPr>
        <w:spacing w:line="360" w:lineRule="auto"/>
        <w:rPr>
          <w:rFonts w:hint="eastAsia" w:ascii="仿宋" w:hAnsi="仿宋" w:eastAsia="仿宋"/>
          <w:sz w:val="24"/>
          <w:szCs w:val="28"/>
        </w:rPr>
      </w:pPr>
      <w:r>
        <w:rPr>
          <w:rFonts w:hint="eastAsia" w:ascii="仿宋" w:hAnsi="仿宋" w:eastAsia="仿宋"/>
          <w:sz w:val="24"/>
          <w:szCs w:val="28"/>
        </w:rPr>
        <w:t>（3）免费提供系统软件升级服务。</w:t>
      </w:r>
    </w:p>
    <w:p w14:paraId="7935E92D">
      <w:pPr>
        <w:spacing w:line="360" w:lineRule="auto"/>
        <w:rPr>
          <w:rFonts w:hint="eastAsia" w:ascii="仿宋" w:hAnsi="仿宋" w:eastAsia="仿宋"/>
          <w:sz w:val="24"/>
          <w:szCs w:val="28"/>
        </w:rPr>
      </w:pPr>
      <w:r>
        <w:rPr>
          <w:rFonts w:hint="eastAsia" w:ascii="仿宋" w:hAnsi="仿宋" w:eastAsia="仿宋"/>
          <w:sz w:val="24"/>
          <w:szCs w:val="28"/>
        </w:rPr>
        <w:t>6、其它</w:t>
      </w:r>
    </w:p>
    <w:p w14:paraId="3FFBFF36">
      <w:pPr>
        <w:spacing w:line="360" w:lineRule="auto"/>
        <w:rPr>
          <w:rFonts w:hint="eastAsia" w:ascii="仿宋" w:hAnsi="仿宋" w:eastAsia="仿宋"/>
          <w:sz w:val="24"/>
          <w:szCs w:val="28"/>
        </w:rPr>
      </w:pPr>
      <w:r>
        <w:rPr>
          <w:rFonts w:hint="eastAsia" w:ascii="仿宋" w:hAnsi="仿宋" w:eastAsia="仿宋"/>
          <w:sz w:val="24"/>
          <w:szCs w:val="28"/>
        </w:rPr>
        <w:t>供应商需承诺所供设备为全新原厂正品，符合国家相关质量标准及消防产品认证要求，提供产品合格证及 3C 认证证书（如适用）。</w:t>
      </w:r>
    </w:p>
    <w:p w14:paraId="37CB1334">
      <w:pPr>
        <w:spacing w:line="360" w:lineRule="auto"/>
        <w:rPr>
          <w:rFonts w:hint="eastAsia" w:ascii="仿宋" w:hAnsi="仿宋" w:eastAsia="仿宋"/>
          <w:sz w:val="24"/>
          <w:szCs w:val="28"/>
        </w:rPr>
      </w:pPr>
      <w:r>
        <w:rPr>
          <w:rFonts w:hint="eastAsia" w:ascii="仿宋" w:hAnsi="仿宋" w:eastAsia="仿宋"/>
          <w:b/>
          <w:bCs/>
          <w:sz w:val="24"/>
          <w:szCs w:val="28"/>
        </w:rPr>
        <w:t>六、报价文件要求</w:t>
      </w:r>
    </w:p>
    <w:p w14:paraId="04AC7973">
      <w:pPr>
        <w:widowControl/>
        <w:spacing w:line="360" w:lineRule="auto"/>
        <w:jc w:val="left"/>
        <w:rPr>
          <w:rFonts w:hint="eastAsia" w:ascii="仿宋" w:hAnsi="仿宋" w:eastAsia="仿宋"/>
          <w:sz w:val="24"/>
          <w:szCs w:val="28"/>
        </w:rPr>
      </w:pPr>
      <w:r>
        <w:rPr>
          <w:rFonts w:hint="eastAsia" w:ascii="仿宋" w:hAnsi="仿宋" w:eastAsia="仿宋"/>
          <w:sz w:val="24"/>
          <w:szCs w:val="28"/>
        </w:rPr>
        <w:t>1、响应文件须</w:t>
      </w:r>
      <w:r>
        <w:rPr>
          <w:rFonts w:hint="eastAsia" w:ascii="仿宋" w:hAnsi="仿宋" w:eastAsia="仿宋"/>
          <w:sz w:val="24"/>
          <w:szCs w:val="28"/>
          <w:lang w:val="en-US" w:eastAsia="zh-CN"/>
        </w:rPr>
        <w:t>逐页加盖公章</w:t>
      </w:r>
      <w:bookmarkStart w:id="0" w:name="_GoBack"/>
      <w:bookmarkEnd w:id="0"/>
      <w:r>
        <w:rPr>
          <w:rFonts w:hint="eastAsia" w:ascii="仿宋" w:hAnsi="仿宋" w:eastAsia="仿宋"/>
          <w:sz w:val="24"/>
          <w:szCs w:val="28"/>
        </w:rPr>
        <w:t>装订成册，并需提供所有响应文件加盖公章的电子文档PDF格式保存于U盘，与响应文件共同密封包装在一个密封袋中。（不接受闪送，顺丰同城需在快递袋标注快递号）</w:t>
      </w:r>
    </w:p>
    <w:p w14:paraId="67BBF629">
      <w:pPr>
        <w:widowControl/>
        <w:spacing w:line="360" w:lineRule="auto"/>
        <w:jc w:val="left"/>
        <w:rPr>
          <w:rFonts w:hint="eastAsia" w:ascii="仿宋" w:hAnsi="仿宋" w:eastAsia="仿宋"/>
          <w:sz w:val="24"/>
          <w:szCs w:val="28"/>
        </w:rPr>
      </w:pPr>
      <w:r>
        <w:rPr>
          <w:rFonts w:hint="eastAsia" w:ascii="仿宋" w:hAnsi="仿宋" w:eastAsia="仿宋"/>
          <w:sz w:val="24"/>
          <w:szCs w:val="28"/>
        </w:rPr>
        <w:t>2、响应文件中不得有任何擦涂、更改痕迹。若需改正错漏，须由响应文件签发人在更正处加签。</w:t>
      </w:r>
    </w:p>
    <w:p w14:paraId="30DF6461">
      <w:pPr>
        <w:widowControl/>
        <w:spacing w:line="360" w:lineRule="auto"/>
        <w:jc w:val="left"/>
        <w:rPr>
          <w:rFonts w:hint="eastAsia" w:ascii="仿宋" w:hAnsi="仿宋" w:eastAsia="仿宋"/>
          <w:sz w:val="24"/>
          <w:szCs w:val="28"/>
        </w:rPr>
      </w:pPr>
      <w:r>
        <w:rPr>
          <w:rFonts w:hint="eastAsia" w:ascii="仿宋" w:hAnsi="仿宋" w:eastAsia="仿宋"/>
          <w:sz w:val="24"/>
          <w:szCs w:val="28"/>
        </w:rPr>
        <w:t>3、报价单位提交的所有资质证明资料不得出现伪造痕迹，一经发现，报价无效。</w:t>
      </w:r>
    </w:p>
    <w:p w14:paraId="051A9CC8">
      <w:pPr>
        <w:widowControl/>
        <w:spacing w:line="360" w:lineRule="auto"/>
        <w:jc w:val="left"/>
        <w:rPr>
          <w:rFonts w:hint="eastAsia" w:ascii="仿宋" w:hAnsi="仿宋" w:eastAsia="仿宋"/>
          <w:sz w:val="24"/>
          <w:szCs w:val="28"/>
        </w:rPr>
      </w:pPr>
      <w:r>
        <w:rPr>
          <w:rFonts w:hint="eastAsia" w:ascii="仿宋" w:hAnsi="仿宋" w:eastAsia="仿宋"/>
          <w:sz w:val="24"/>
          <w:szCs w:val="28"/>
        </w:rPr>
        <w:t>4、报价文件需打印纸质文件提供，并由报价单位或经报价单位正式授权的代表签字。授权代表须将以书面形式出具的“委托授权书”附在响应文件中。每份报价文件均应由投标单位或其授权代表签字。</w:t>
      </w:r>
    </w:p>
    <w:p w14:paraId="68FD5954">
      <w:pPr>
        <w:widowControl/>
        <w:spacing w:line="360" w:lineRule="auto"/>
        <w:jc w:val="left"/>
        <w:rPr>
          <w:rFonts w:hint="eastAsia" w:ascii="仿宋" w:hAnsi="仿宋" w:eastAsia="仿宋"/>
          <w:sz w:val="24"/>
          <w:szCs w:val="28"/>
        </w:rPr>
      </w:pPr>
      <w:r>
        <w:rPr>
          <w:rFonts w:hint="eastAsia" w:ascii="仿宋" w:hAnsi="仿宋" w:eastAsia="仿宋"/>
          <w:sz w:val="24"/>
          <w:szCs w:val="28"/>
        </w:rPr>
        <w:t>5、响应文件递交地址：上海市徐汇区百色支路35号。响应文件须在响应截止时间之前递交到采购人处，逾期送达或者不按照采购文件要求密封或者未送达指定地点的响应文件，采购人拒绝接收。</w:t>
      </w:r>
    </w:p>
    <w:p w14:paraId="6E7A7170">
      <w:pPr>
        <w:widowControl/>
        <w:spacing w:line="360" w:lineRule="auto"/>
        <w:jc w:val="left"/>
        <w:rPr>
          <w:rFonts w:hint="eastAsia" w:ascii="仿宋" w:hAnsi="仿宋" w:eastAsia="仿宋"/>
          <w:sz w:val="24"/>
          <w:szCs w:val="28"/>
        </w:rPr>
      </w:pPr>
      <w:r>
        <w:rPr>
          <w:rFonts w:hint="eastAsia" w:ascii="仿宋" w:hAnsi="仿宋" w:eastAsia="仿宋"/>
          <w:sz w:val="24"/>
          <w:szCs w:val="28"/>
        </w:rPr>
        <w:t>6、报价货币，均应以人民币元报价。</w:t>
      </w:r>
    </w:p>
    <w:p w14:paraId="514F6E71">
      <w:pPr>
        <w:widowControl/>
        <w:jc w:val="left"/>
        <w:rPr>
          <w:rFonts w:hint="eastAsia" w:ascii="仿宋" w:hAnsi="仿宋" w:eastAsia="仿宋"/>
          <w:sz w:val="24"/>
          <w:szCs w:val="28"/>
        </w:rPr>
      </w:pPr>
      <w:r>
        <w:rPr>
          <w:rFonts w:hint="eastAsia" w:ascii="仿宋" w:hAnsi="仿宋" w:eastAsia="仿宋"/>
          <w:sz w:val="24"/>
          <w:szCs w:val="28"/>
        </w:rPr>
        <w:br w:type="page"/>
      </w:r>
    </w:p>
    <w:p w14:paraId="1A8EEE49">
      <w:pPr>
        <w:spacing w:line="440" w:lineRule="exact"/>
        <w:rPr>
          <w:rFonts w:hint="eastAsia"/>
          <w:sz w:val="24"/>
          <w:szCs w:val="28"/>
        </w:rPr>
      </w:pPr>
      <w:r>
        <w:rPr>
          <w:rFonts w:hint="eastAsia"/>
          <w:sz w:val="24"/>
          <w:szCs w:val="28"/>
        </w:rPr>
        <w:t>附件</w:t>
      </w:r>
      <w:r>
        <w:rPr>
          <w:sz w:val="24"/>
          <w:szCs w:val="28"/>
        </w:rPr>
        <w:t>1</w:t>
      </w:r>
    </w:p>
    <w:p w14:paraId="7858357E">
      <w:pPr>
        <w:spacing w:line="440" w:lineRule="exact"/>
        <w:jc w:val="center"/>
        <w:rPr>
          <w:rFonts w:hint="eastAsia" w:ascii="黑体" w:hAnsi="黑体" w:eastAsia="黑体"/>
          <w:bCs/>
          <w:sz w:val="24"/>
          <w:szCs w:val="28"/>
        </w:rPr>
      </w:pPr>
      <w:r>
        <w:rPr>
          <w:rFonts w:hint="eastAsia" w:ascii="黑体" w:hAnsi="黑体" w:eastAsia="黑体"/>
          <w:b/>
          <w:sz w:val="24"/>
          <w:szCs w:val="28"/>
        </w:rPr>
        <w:t>响应承诺书</w:t>
      </w:r>
    </w:p>
    <w:p w14:paraId="6B090DD8">
      <w:pPr>
        <w:spacing w:line="440" w:lineRule="exact"/>
        <w:rPr>
          <w:rFonts w:hint="eastAsia" w:ascii="仿宋" w:hAnsi="仿宋" w:eastAsia="仿宋"/>
          <w:sz w:val="24"/>
          <w:szCs w:val="28"/>
        </w:rPr>
      </w:pPr>
      <w:r>
        <w:rPr>
          <w:rFonts w:hint="eastAsia" w:ascii="仿宋" w:hAnsi="仿宋" w:eastAsia="仿宋"/>
          <w:sz w:val="24"/>
          <w:szCs w:val="28"/>
          <w:u w:val="single"/>
        </w:rPr>
        <w:t xml:space="preserve">上海市工商外国语学校  </w:t>
      </w:r>
      <w:r>
        <w:rPr>
          <w:rFonts w:hint="eastAsia" w:ascii="仿宋" w:hAnsi="仿宋" w:eastAsia="仿宋"/>
          <w:sz w:val="24"/>
          <w:szCs w:val="28"/>
        </w:rPr>
        <w:t xml:space="preserve"> ：     </w:t>
      </w:r>
    </w:p>
    <w:p w14:paraId="55650709">
      <w:pPr>
        <w:spacing w:line="440" w:lineRule="exact"/>
        <w:rPr>
          <w:rFonts w:hint="eastAsia" w:ascii="仿宋" w:hAnsi="仿宋" w:eastAsia="仿宋"/>
          <w:sz w:val="24"/>
          <w:szCs w:val="28"/>
        </w:rPr>
      </w:pPr>
      <w:r>
        <w:rPr>
          <w:rFonts w:hint="eastAsia" w:ascii="仿宋" w:hAnsi="仿宋" w:eastAsia="仿宋"/>
          <w:sz w:val="24"/>
          <w:szCs w:val="28"/>
          <w:u w:val="single"/>
        </w:rPr>
        <w:t>（响应单位全称）</w:t>
      </w:r>
      <w:r>
        <w:rPr>
          <w:rFonts w:hint="eastAsia" w:ascii="仿宋" w:hAnsi="仿宋" w:eastAsia="仿宋"/>
          <w:sz w:val="24"/>
          <w:szCs w:val="28"/>
        </w:rPr>
        <w:t xml:space="preserve">授权 </w:t>
      </w:r>
      <w:r>
        <w:rPr>
          <w:rFonts w:hint="eastAsia" w:ascii="仿宋" w:hAnsi="仿宋" w:eastAsia="仿宋"/>
          <w:sz w:val="24"/>
          <w:szCs w:val="28"/>
          <w:u w:val="single"/>
        </w:rPr>
        <w:t>（响应单位代表姓名）（职务、职称）</w:t>
      </w:r>
      <w:r>
        <w:rPr>
          <w:rFonts w:hint="eastAsia" w:ascii="仿宋" w:hAnsi="仿宋" w:eastAsia="仿宋"/>
          <w:sz w:val="24"/>
          <w:szCs w:val="28"/>
        </w:rPr>
        <w:t>为全权代表，参加贵方组织的</w:t>
      </w:r>
      <w:r>
        <w:rPr>
          <w:rFonts w:hint="eastAsia" w:ascii="仿宋" w:hAnsi="仿宋" w:eastAsia="仿宋"/>
          <w:sz w:val="24"/>
          <w:szCs w:val="28"/>
          <w:u w:val="single"/>
        </w:rPr>
        <w:t>（项目编号、项目名称）</w:t>
      </w:r>
      <w:r>
        <w:rPr>
          <w:rFonts w:hint="eastAsia" w:ascii="仿宋" w:hAnsi="仿宋" w:eastAsia="仿宋"/>
          <w:sz w:val="24"/>
          <w:szCs w:val="28"/>
        </w:rPr>
        <w:t>采购的有关活动，并对服务进行响应。为此：</w:t>
      </w:r>
    </w:p>
    <w:p w14:paraId="1FCBCFF2">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我方提供报价须知规定的全部响应文件：响应文件一份正本、叁份副本；</w:t>
      </w:r>
    </w:p>
    <w:p w14:paraId="68F52B10">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我方的报价为（大写）：</w:t>
      </w:r>
      <w:r>
        <w:rPr>
          <w:rFonts w:hint="eastAsia" w:ascii="仿宋" w:hAnsi="仿宋" w:eastAsia="仿宋"/>
          <w:sz w:val="24"/>
          <w:szCs w:val="28"/>
          <w:u w:val="single"/>
        </w:rPr>
        <w:t xml:space="preserve">         （元）</w:t>
      </w:r>
      <w:r>
        <w:rPr>
          <w:rFonts w:hint="eastAsia" w:ascii="仿宋" w:hAnsi="仿宋" w:eastAsia="仿宋"/>
          <w:sz w:val="24"/>
          <w:szCs w:val="28"/>
        </w:rPr>
        <w:t xml:space="preserve"> </w:t>
      </w:r>
    </w:p>
    <w:p w14:paraId="2081EED7">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我方保证遵守报价须知中的有关规定。</w:t>
      </w:r>
    </w:p>
    <w:p w14:paraId="33B46268">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我方保证忠实地执行买卖双方所签署的经济合同，并承担合同规定的责任义务。</w:t>
      </w:r>
    </w:p>
    <w:p w14:paraId="2A300161">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我方愿意向贵方提供任何与该项目投标有关的数据、情况和技术资料。</w:t>
      </w:r>
    </w:p>
    <w:p w14:paraId="0EB1B8AA">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我方愿意履行自己在响应文件中的全部承诺和责任。</w:t>
      </w:r>
    </w:p>
    <w:p w14:paraId="5305FDBD">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本响应文件自响应截止时间之日起90个日历日内有效。</w:t>
      </w:r>
    </w:p>
    <w:p w14:paraId="27E42D67">
      <w:pPr>
        <w:numPr>
          <w:ilvl w:val="0"/>
          <w:numId w:val="1"/>
        </w:numPr>
        <w:spacing w:line="440" w:lineRule="exact"/>
        <w:rPr>
          <w:rFonts w:hint="eastAsia" w:ascii="仿宋" w:hAnsi="仿宋" w:eastAsia="仿宋"/>
          <w:sz w:val="24"/>
          <w:szCs w:val="28"/>
        </w:rPr>
      </w:pPr>
      <w:r>
        <w:rPr>
          <w:rFonts w:hint="eastAsia" w:ascii="仿宋" w:hAnsi="仿宋" w:eastAsia="仿宋"/>
          <w:sz w:val="24"/>
          <w:szCs w:val="28"/>
        </w:rPr>
        <w:t>与本项目有关的一切往来通讯请寄：</w:t>
      </w:r>
    </w:p>
    <w:p w14:paraId="77AE97EA">
      <w:pPr>
        <w:spacing w:line="440" w:lineRule="exact"/>
        <w:rPr>
          <w:rFonts w:hint="eastAsia" w:ascii="仿宋" w:hAnsi="仿宋" w:eastAsia="仿宋"/>
          <w:sz w:val="24"/>
          <w:szCs w:val="28"/>
          <w:u w:val="single"/>
        </w:rPr>
      </w:pPr>
      <w:r>
        <w:rPr>
          <w:rFonts w:hint="eastAsia" w:ascii="仿宋" w:hAnsi="仿宋" w:eastAsia="仿宋"/>
          <w:sz w:val="24"/>
          <w:szCs w:val="28"/>
        </w:rPr>
        <w:t>地址：</w:t>
      </w:r>
    </w:p>
    <w:p w14:paraId="0006E180">
      <w:pPr>
        <w:spacing w:line="440" w:lineRule="exact"/>
        <w:rPr>
          <w:rFonts w:hint="eastAsia" w:ascii="仿宋" w:hAnsi="仿宋" w:eastAsia="仿宋"/>
          <w:sz w:val="24"/>
          <w:szCs w:val="28"/>
        </w:rPr>
      </w:pPr>
      <w:r>
        <w:rPr>
          <w:rFonts w:hint="eastAsia" w:ascii="仿宋" w:hAnsi="仿宋" w:eastAsia="仿宋"/>
          <w:sz w:val="24"/>
          <w:szCs w:val="28"/>
        </w:rPr>
        <w:t xml:space="preserve">邮编： </w:t>
      </w:r>
    </w:p>
    <w:p w14:paraId="230597C9">
      <w:pPr>
        <w:spacing w:line="440" w:lineRule="exact"/>
        <w:rPr>
          <w:rFonts w:hint="eastAsia" w:ascii="仿宋" w:hAnsi="仿宋" w:eastAsia="仿宋"/>
          <w:sz w:val="24"/>
          <w:szCs w:val="28"/>
        </w:rPr>
      </w:pPr>
      <w:r>
        <w:rPr>
          <w:rFonts w:hint="eastAsia" w:ascii="仿宋" w:hAnsi="仿宋" w:eastAsia="仿宋"/>
          <w:sz w:val="24"/>
          <w:szCs w:val="28"/>
        </w:rPr>
        <w:t xml:space="preserve">电话： </w:t>
      </w:r>
    </w:p>
    <w:p w14:paraId="289CBAE9">
      <w:pPr>
        <w:spacing w:line="440" w:lineRule="exact"/>
        <w:rPr>
          <w:rFonts w:hint="eastAsia" w:ascii="仿宋" w:hAnsi="仿宋" w:eastAsia="仿宋"/>
          <w:sz w:val="24"/>
          <w:szCs w:val="28"/>
        </w:rPr>
      </w:pPr>
      <w:r>
        <w:rPr>
          <w:rFonts w:hint="eastAsia" w:ascii="仿宋" w:hAnsi="仿宋" w:eastAsia="仿宋"/>
          <w:sz w:val="24"/>
          <w:szCs w:val="28"/>
        </w:rPr>
        <w:t>传真：</w:t>
      </w:r>
    </w:p>
    <w:p w14:paraId="1FBB494C">
      <w:pPr>
        <w:spacing w:line="440" w:lineRule="exact"/>
        <w:rPr>
          <w:rFonts w:hint="eastAsia" w:ascii="仿宋" w:hAnsi="仿宋" w:eastAsia="仿宋"/>
          <w:sz w:val="24"/>
          <w:szCs w:val="28"/>
        </w:rPr>
      </w:pPr>
      <w:r>
        <w:rPr>
          <w:rFonts w:hint="eastAsia" w:ascii="仿宋" w:hAnsi="仿宋" w:eastAsia="仿宋"/>
          <w:sz w:val="24"/>
          <w:szCs w:val="28"/>
        </w:rPr>
        <w:t>响应单位代表签字：</w:t>
      </w:r>
    </w:p>
    <w:p w14:paraId="6EF7BB7A">
      <w:pPr>
        <w:spacing w:line="440" w:lineRule="exact"/>
        <w:rPr>
          <w:rFonts w:hint="eastAsia" w:ascii="仿宋" w:hAnsi="仿宋" w:eastAsia="仿宋"/>
          <w:sz w:val="24"/>
          <w:szCs w:val="28"/>
        </w:rPr>
      </w:pPr>
      <w:r>
        <w:rPr>
          <w:rFonts w:hint="eastAsia" w:ascii="仿宋" w:hAnsi="仿宋" w:eastAsia="仿宋"/>
          <w:sz w:val="24"/>
          <w:szCs w:val="28"/>
        </w:rPr>
        <w:t>响应单位名称（盖公章）：</w:t>
      </w:r>
    </w:p>
    <w:p w14:paraId="30E0337A">
      <w:pPr>
        <w:spacing w:line="440" w:lineRule="exact"/>
        <w:rPr>
          <w:rFonts w:hint="eastAsia" w:ascii="仿宋" w:hAnsi="仿宋" w:eastAsia="仿宋"/>
          <w:sz w:val="24"/>
          <w:szCs w:val="28"/>
        </w:rPr>
      </w:pPr>
      <w:r>
        <w:rPr>
          <w:rFonts w:hint="eastAsia" w:ascii="仿宋" w:hAnsi="仿宋" w:eastAsia="仿宋"/>
          <w:sz w:val="24"/>
          <w:szCs w:val="28"/>
        </w:rPr>
        <w:t>日     期：</w:t>
      </w:r>
    </w:p>
    <w:p w14:paraId="2423A869">
      <w:pPr>
        <w:spacing w:line="440" w:lineRule="exact"/>
        <w:rPr>
          <w:rFonts w:hint="eastAsia" w:ascii="仿宋" w:hAnsi="仿宋" w:eastAsia="仿宋"/>
          <w:sz w:val="24"/>
          <w:szCs w:val="28"/>
        </w:rPr>
      </w:pPr>
    </w:p>
    <w:p w14:paraId="07009CDD">
      <w:pPr>
        <w:widowControl/>
        <w:jc w:val="left"/>
        <w:rPr>
          <w:rFonts w:hint="eastAsia" w:ascii="仿宋" w:hAnsi="仿宋" w:eastAsia="仿宋"/>
          <w:sz w:val="24"/>
          <w:szCs w:val="28"/>
        </w:rPr>
      </w:pPr>
      <w:r>
        <w:rPr>
          <w:rFonts w:hint="eastAsia" w:ascii="仿宋" w:hAnsi="仿宋" w:eastAsia="仿宋"/>
          <w:sz w:val="24"/>
          <w:szCs w:val="28"/>
        </w:rPr>
        <w:br w:type="page"/>
      </w:r>
    </w:p>
    <w:p w14:paraId="3D8E8029">
      <w:pPr>
        <w:spacing w:line="440" w:lineRule="exact"/>
        <w:rPr>
          <w:rFonts w:hint="eastAsia"/>
          <w:sz w:val="24"/>
          <w:szCs w:val="28"/>
        </w:rPr>
      </w:pPr>
      <w:r>
        <w:rPr>
          <w:rFonts w:hint="eastAsia"/>
          <w:sz w:val="24"/>
          <w:szCs w:val="28"/>
        </w:rPr>
        <w:t>附件</w:t>
      </w:r>
      <w:r>
        <w:rPr>
          <w:sz w:val="24"/>
          <w:szCs w:val="28"/>
        </w:rPr>
        <w:t>2</w:t>
      </w:r>
    </w:p>
    <w:p w14:paraId="1ED76F60">
      <w:pPr>
        <w:spacing w:line="440" w:lineRule="exact"/>
        <w:rPr>
          <w:rFonts w:hint="eastAsia"/>
          <w:b/>
          <w:sz w:val="24"/>
          <w:szCs w:val="28"/>
        </w:rPr>
      </w:pPr>
    </w:p>
    <w:p w14:paraId="49D87E7B">
      <w:pPr>
        <w:spacing w:line="440" w:lineRule="exact"/>
        <w:jc w:val="center"/>
        <w:rPr>
          <w:rFonts w:hint="eastAsia"/>
          <w:b/>
          <w:sz w:val="24"/>
          <w:szCs w:val="28"/>
        </w:rPr>
      </w:pPr>
      <w:r>
        <w:rPr>
          <w:rFonts w:hint="eastAsia"/>
          <w:b/>
          <w:sz w:val="24"/>
          <w:szCs w:val="28"/>
        </w:rPr>
        <w:t>报价单</w:t>
      </w:r>
    </w:p>
    <w:p w14:paraId="11790EE7">
      <w:pPr>
        <w:spacing w:line="440" w:lineRule="exact"/>
        <w:rPr>
          <w:rFonts w:hint="eastAsia" w:ascii="仿宋" w:hAnsi="仿宋" w:eastAsia="仿宋"/>
          <w:sz w:val="24"/>
          <w:szCs w:val="28"/>
        </w:rPr>
      </w:pPr>
      <w:r>
        <w:rPr>
          <w:rFonts w:hint="eastAsia" w:ascii="仿宋" w:hAnsi="仿宋" w:eastAsia="仿宋"/>
          <w:sz w:val="24"/>
          <w:szCs w:val="28"/>
        </w:rPr>
        <w:t>致：上海市工商外国语学校：</w:t>
      </w:r>
    </w:p>
    <w:p w14:paraId="6C3D5BB4">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兹就贵单位的比选函提交书面报价文件，承诺严格遵守国家的相关法律法规及上海市工商外国语学校的相关规定，诚信参加贵校的比选采购活动。</w:t>
      </w:r>
    </w:p>
    <w:p w14:paraId="08F3F38B">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如成交，将按要求签订合同并履行相应的责任和义务。现根据服务需求内容编制本报价单，报价有效期</w:t>
      </w:r>
      <w:r>
        <w:rPr>
          <w:rFonts w:hint="eastAsia" w:ascii="仿宋" w:hAnsi="仿宋" w:eastAsia="仿宋"/>
          <w:sz w:val="24"/>
          <w:szCs w:val="28"/>
          <w:u w:val="single"/>
        </w:rPr>
        <w:t xml:space="preserve">               </w:t>
      </w:r>
      <w:r>
        <w:rPr>
          <w:rFonts w:hint="eastAsia" w:ascii="仿宋" w:hAnsi="仿宋" w:eastAsia="仿宋"/>
          <w:sz w:val="24"/>
          <w:szCs w:val="28"/>
        </w:rPr>
        <w:t>，并授权本单位职工</w:t>
      </w:r>
      <w:r>
        <w:rPr>
          <w:rFonts w:hint="eastAsia" w:ascii="仿宋" w:hAnsi="仿宋" w:eastAsia="仿宋"/>
          <w:sz w:val="24"/>
          <w:szCs w:val="28"/>
          <w:u w:val="single"/>
        </w:rPr>
        <w:t xml:space="preserve">                   </w:t>
      </w:r>
      <w:r>
        <w:rPr>
          <w:rFonts w:hint="eastAsia" w:ascii="仿宋" w:hAnsi="仿宋" w:eastAsia="仿宋"/>
          <w:sz w:val="24"/>
          <w:szCs w:val="28"/>
        </w:rPr>
        <w:t>（姓名、身份证号）作为该货物报价及履约代表，负责该项目的一切相关事宜，并提供相关的资质证明材料（如有见附件）。</w:t>
      </w:r>
    </w:p>
    <w:p w14:paraId="11D2C562">
      <w:pPr>
        <w:spacing w:line="440" w:lineRule="exact"/>
        <w:rPr>
          <w:rFonts w:hint="eastAsia" w:ascii="仿宋" w:hAnsi="仿宋" w:eastAsia="仿宋"/>
          <w:sz w:val="24"/>
          <w:szCs w:val="28"/>
        </w:rPr>
      </w:pPr>
    </w:p>
    <w:p w14:paraId="5DEB08AE">
      <w:pPr>
        <w:spacing w:line="440" w:lineRule="exact"/>
        <w:rPr>
          <w:rFonts w:hint="eastAsia" w:ascii="仿宋" w:hAnsi="仿宋" w:eastAsia="仿宋"/>
          <w:sz w:val="24"/>
          <w:szCs w:val="28"/>
        </w:rPr>
      </w:pPr>
      <w:r>
        <w:rPr>
          <w:rFonts w:hint="eastAsia" w:ascii="仿宋" w:hAnsi="仿宋" w:eastAsia="仿宋"/>
          <w:sz w:val="24"/>
          <w:szCs w:val="28"/>
        </w:rPr>
        <w:t>服务报价内容</w:t>
      </w:r>
    </w:p>
    <w:p w14:paraId="1CB8F160">
      <w:pPr>
        <w:spacing w:line="440" w:lineRule="exact"/>
        <w:rPr>
          <w:rFonts w:hint="eastAsia" w:ascii="仿宋" w:hAnsi="仿宋" w:eastAsia="仿宋"/>
          <w:sz w:val="24"/>
          <w:szCs w:val="28"/>
        </w:rPr>
      </w:pPr>
      <w:r>
        <w:rPr>
          <w:rFonts w:hint="eastAsia" w:ascii="仿宋" w:hAnsi="仿宋" w:eastAsia="仿宋"/>
          <w:sz w:val="24"/>
          <w:szCs w:val="28"/>
        </w:rPr>
        <w:t>（服务内容自拟）</w:t>
      </w:r>
    </w:p>
    <w:p w14:paraId="7E10B481">
      <w:pPr>
        <w:spacing w:line="440" w:lineRule="exact"/>
        <w:rPr>
          <w:rFonts w:hint="eastAsia" w:ascii="仿宋" w:hAnsi="仿宋" w:eastAsia="仿宋"/>
          <w:sz w:val="24"/>
          <w:szCs w:val="28"/>
        </w:rPr>
      </w:pPr>
    </w:p>
    <w:p w14:paraId="61E9C7C0">
      <w:pPr>
        <w:spacing w:line="440" w:lineRule="exact"/>
        <w:rPr>
          <w:rFonts w:hint="eastAsia" w:ascii="仿宋" w:hAnsi="仿宋" w:eastAsia="仿宋"/>
          <w:sz w:val="24"/>
          <w:szCs w:val="28"/>
        </w:rPr>
      </w:pPr>
    </w:p>
    <w:p w14:paraId="60A0F993">
      <w:pPr>
        <w:spacing w:line="440" w:lineRule="exact"/>
        <w:rPr>
          <w:rFonts w:hint="eastAsia" w:ascii="仿宋" w:hAnsi="仿宋" w:eastAsia="仿宋"/>
          <w:sz w:val="24"/>
          <w:szCs w:val="28"/>
        </w:rPr>
      </w:pPr>
    </w:p>
    <w:p w14:paraId="1A935AAA">
      <w:pPr>
        <w:spacing w:line="440" w:lineRule="exact"/>
        <w:rPr>
          <w:rFonts w:hint="eastAsia" w:ascii="仿宋" w:hAnsi="仿宋" w:eastAsia="仿宋"/>
          <w:sz w:val="24"/>
          <w:szCs w:val="28"/>
        </w:rPr>
      </w:pPr>
    </w:p>
    <w:p w14:paraId="2209F291">
      <w:pPr>
        <w:spacing w:line="440" w:lineRule="exact"/>
        <w:rPr>
          <w:rFonts w:hint="eastAsia" w:ascii="仿宋" w:hAnsi="仿宋" w:eastAsia="仿宋"/>
          <w:sz w:val="24"/>
          <w:szCs w:val="28"/>
        </w:rPr>
      </w:pPr>
      <w:r>
        <w:rPr>
          <w:rFonts w:hint="eastAsia" w:ascii="仿宋" w:hAnsi="仿宋" w:eastAsia="仿宋"/>
          <w:sz w:val="24"/>
          <w:szCs w:val="28"/>
        </w:rPr>
        <w:t>报价单位（公章）：</w:t>
      </w:r>
      <w:r>
        <w:rPr>
          <w:rFonts w:hint="eastAsia" w:ascii="仿宋" w:hAnsi="仿宋" w:eastAsia="仿宋"/>
          <w:sz w:val="24"/>
          <w:szCs w:val="28"/>
          <w:u w:val="single"/>
        </w:rPr>
        <w:t xml:space="preserve">                                                </w:t>
      </w:r>
      <w:r>
        <w:rPr>
          <w:rFonts w:hint="eastAsia" w:ascii="仿宋" w:hAnsi="仿宋" w:eastAsia="仿宋"/>
          <w:sz w:val="24"/>
          <w:szCs w:val="28"/>
        </w:rPr>
        <w:t xml:space="preserve">   </w:t>
      </w:r>
    </w:p>
    <w:p w14:paraId="72AB711A">
      <w:pPr>
        <w:spacing w:line="440" w:lineRule="exact"/>
        <w:rPr>
          <w:rFonts w:hint="eastAsia" w:ascii="仿宋" w:hAnsi="仿宋" w:eastAsia="仿宋"/>
          <w:sz w:val="24"/>
          <w:szCs w:val="28"/>
          <w:u w:val="single"/>
        </w:rPr>
      </w:pPr>
      <w:r>
        <w:rPr>
          <w:rFonts w:hint="eastAsia" w:ascii="仿宋" w:hAnsi="仿宋" w:eastAsia="仿宋"/>
          <w:sz w:val="24"/>
          <w:szCs w:val="28"/>
        </w:rPr>
        <w:t>授权代表（签字、电话/邮箱）：</w:t>
      </w:r>
      <w:r>
        <w:rPr>
          <w:rFonts w:hint="eastAsia" w:ascii="仿宋" w:hAnsi="仿宋" w:eastAsia="仿宋"/>
          <w:sz w:val="24"/>
          <w:szCs w:val="28"/>
          <w:u w:val="single"/>
        </w:rPr>
        <w:t xml:space="preserve">                             </w:t>
      </w:r>
    </w:p>
    <w:p w14:paraId="361ED6C6">
      <w:pPr>
        <w:spacing w:line="440" w:lineRule="exact"/>
        <w:rPr>
          <w:rFonts w:hint="eastAsia" w:ascii="仿宋" w:hAnsi="仿宋" w:eastAsia="仿宋"/>
          <w:sz w:val="24"/>
          <w:szCs w:val="28"/>
        </w:rPr>
      </w:pPr>
      <w:r>
        <w:rPr>
          <w:rFonts w:hint="eastAsia" w:ascii="仿宋" w:hAnsi="仿宋" w:eastAsia="仿宋"/>
          <w:sz w:val="24"/>
          <w:szCs w:val="28"/>
        </w:rPr>
        <w:t>法定地址：</w:t>
      </w:r>
      <w:r>
        <w:rPr>
          <w:rFonts w:hint="eastAsia" w:ascii="仿宋" w:hAnsi="仿宋" w:eastAsia="仿宋"/>
          <w:sz w:val="24"/>
          <w:szCs w:val="28"/>
          <w:u w:val="single"/>
        </w:rPr>
        <w:t xml:space="preserve">                       （邮编：      ）</w:t>
      </w:r>
    </w:p>
    <w:p w14:paraId="58224C29">
      <w:pPr>
        <w:spacing w:line="440" w:lineRule="exact"/>
        <w:rPr>
          <w:rFonts w:hint="eastAsia" w:ascii="仿宋" w:hAnsi="仿宋" w:eastAsia="仿宋"/>
          <w:sz w:val="24"/>
          <w:szCs w:val="28"/>
        </w:rPr>
      </w:pPr>
      <w:r>
        <w:rPr>
          <w:rFonts w:hint="eastAsia" w:ascii="仿宋" w:hAnsi="仿宋" w:eastAsia="仿宋"/>
          <w:sz w:val="24"/>
          <w:szCs w:val="28"/>
        </w:rPr>
        <w:t>日    期：</w:t>
      </w:r>
      <w:r>
        <w:rPr>
          <w:rFonts w:hint="eastAsia" w:ascii="仿宋" w:hAnsi="仿宋" w:eastAsia="仿宋"/>
          <w:sz w:val="24"/>
          <w:szCs w:val="28"/>
          <w:u w:val="single"/>
        </w:rPr>
        <w:t xml:space="preserve">      </w:t>
      </w:r>
      <w:r>
        <w:rPr>
          <w:rFonts w:hint="eastAsia" w:ascii="仿宋" w:hAnsi="仿宋" w:eastAsia="仿宋"/>
          <w:sz w:val="24"/>
          <w:szCs w:val="28"/>
        </w:rPr>
        <w:t>年</w:t>
      </w:r>
      <w:r>
        <w:rPr>
          <w:rFonts w:hint="eastAsia" w:ascii="仿宋" w:hAnsi="仿宋" w:eastAsia="仿宋"/>
          <w:sz w:val="24"/>
          <w:szCs w:val="28"/>
          <w:u w:val="single"/>
        </w:rPr>
        <w:t xml:space="preserve">      </w:t>
      </w:r>
      <w:r>
        <w:rPr>
          <w:rFonts w:hint="eastAsia" w:ascii="仿宋" w:hAnsi="仿宋" w:eastAsia="仿宋"/>
          <w:sz w:val="24"/>
          <w:szCs w:val="28"/>
        </w:rPr>
        <w:t>月</w:t>
      </w:r>
      <w:r>
        <w:rPr>
          <w:rFonts w:hint="eastAsia" w:ascii="仿宋" w:hAnsi="仿宋" w:eastAsia="仿宋"/>
          <w:sz w:val="24"/>
          <w:szCs w:val="28"/>
          <w:u w:val="single"/>
        </w:rPr>
        <w:t xml:space="preserve">      </w:t>
      </w:r>
      <w:r>
        <w:rPr>
          <w:rFonts w:hint="eastAsia" w:ascii="仿宋" w:hAnsi="仿宋" w:eastAsia="仿宋"/>
          <w:sz w:val="24"/>
          <w:szCs w:val="28"/>
        </w:rPr>
        <w:t>日</w:t>
      </w:r>
    </w:p>
    <w:p w14:paraId="36D09FC1">
      <w:pPr>
        <w:spacing w:line="440" w:lineRule="exact"/>
        <w:rPr>
          <w:rFonts w:hint="eastAsia" w:ascii="仿宋" w:hAnsi="仿宋" w:eastAsia="仿宋"/>
          <w:sz w:val="24"/>
          <w:szCs w:val="28"/>
        </w:rPr>
      </w:pPr>
    </w:p>
    <w:p w14:paraId="7C8D874D">
      <w:pPr>
        <w:widowControl/>
        <w:jc w:val="left"/>
        <w:rPr>
          <w:rFonts w:hint="eastAsia" w:ascii="仿宋" w:hAnsi="仿宋" w:eastAsia="仿宋"/>
          <w:sz w:val="24"/>
          <w:szCs w:val="28"/>
        </w:rPr>
      </w:pPr>
      <w:r>
        <w:rPr>
          <w:rFonts w:hint="eastAsia" w:ascii="仿宋" w:hAnsi="仿宋" w:eastAsia="仿宋"/>
          <w:sz w:val="24"/>
          <w:szCs w:val="28"/>
        </w:rPr>
        <w:br w:type="page"/>
      </w:r>
    </w:p>
    <w:p w14:paraId="5C8C8D28">
      <w:pPr>
        <w:spacing w:line="440" w:lineRule="exact"/>
        <w:rPr>
          <w:rFonts w:hint="eastAsia"/>
          <w:sz w:val="24"/>
          <w:szCs w:val="28"/>
        </w:rPr>
      </w:pPr>
      <w:r>
        <w:rPr>
          <w:rFonts w:hint="eastAsia"/>
          <w:sz w:val="24"/>
          <w:szCs w:val="28"/>
        </w:rPr>
        <w:t>附件</w:t>
      </w:r>
      <w:r>
        <w:rPr>
          <w:sz w:val="24"/>
          <w:szCs w:val="28"/>
        </w:rPr>
        <w:t>3</w:t>
      </w:r>
    </w:p>
    <w:p w14:paraId="17101EDC">
      <w:pPr>
        <w:spacing w:line="440" w:lineRule="exact"/>
        <w:rPr>
          <w:rFonts w:hint="eastAsia"/>
          <w:b/>
          <w:bCs/>
          <w:sz w:val="24"/>
          <w:szCs w:val="28"/>
        </w:rPr>
      </w:pPr>
    </w:p>
    <w:p w14:paraId="607CA3E7">
      <w:pPr>
        <w:spacing w:line="440" w:lineRule="exact"/>
        <w:jc w:val="center"/>
        <w:rPr>
          <w:rFonts w:hint="eastAsia"/>
          <w:sz w:val="24"/>
          <w:szCs w:val="28"/>
        </w:rPr>
      </w:pPr>
      <w:r>
        <w:rPr>
          <w:rFonts w:hint="eastAsia"/>
          <w:b/>
          <w:bCs/>
          <w:sz w:val="24"/>
          <w:szCs w:val="28"/>
        </w:rPr>
        <w:t>服务方案及承诺（格式可自拟）</w:t>
      </w:r>
    </w:p>
    <w:p w14:paraId="28A8C7C9">
      <w:pPr>
        <w:spacing w:line="440" w:lineRule="exact"/>
        <w:rPr>
          <w:rFonts w:hint="eastAsia"/>
          <w:b/>
          <w:bCs/>
          <w:sz w:val="24"/>
          <w:szCs w:val="28"/>
        </w:rPr>
      </w:pPr>
    </w:p>
    <w:p w14:paraId="6E052EF3">
      <w:pPr>
        <w:spacing w:line="440" w:lineRule="exact"/>
        <w:ind w:firstLine="480" w:firstLineChars="200"/>
        <w:rPr>
          <w:rFonts w:hint="eastAsia" w:ascii="仿宋" w:hAnsi="仿宋" w:eastAsia="仿宋"/>
          <w:sz w:val="24"/>
          <w:szCs w:val="28"/>
        </w:rPr>
      </w:pPr>
      <w:r>
        <w:rPr>
          <w:rFonts w:hint="eastAsia" w:ascii="仿宋" w:hAnsi="仿宋" w:eastAsia="仿宋"/>
          <w:sz w:val="24"/>
          <w:szCs w:val="28"/>
        </w:rPr>
        <w:t>请供应商提供完整的项目方案及相应实施计划等，并提供完整的实施过程中的配合服务方案。</w:t>
      </w:r>
    </w:p>
    <w:p w14:paraId="57E724AD">
      <w:pPr>
        <w:spacing w:line="440" w:lineRule="exact"/>
        <w:rPr>
          <w:rFonts w:hint="eastAsia" w:ascii="仿宋" w:hAnsi="仿宋" w:eastAsia="仿宋"/>
          <w:sz w:val="24"/>
          <w:szCs w:val="28"/>
        </w:rPr>
      </w:pPr>
    </w:p>
    <w:p w14:paraId="5976D930">
      <w:pPr>
        <w:spacing w:line="440" w:lineRule="exact"/>
        <w:rPr>
          <w:rFonts w:hint="eastAsia" w:ascii="仿宋" w:hAnsi="仿宋" w:eastAsia="仿宋"/>
          <w:sz w:val="24"/>
          <w:szCs w:val="28"/>
        </w:rPr>
      </w:pPr>
    </w:p>
    <w:p w14:paraId="3F76E632">
      <w:pPr>
        <w:spacing w:line="440" w:lineRule="exact"/>
        <w:rPr>
          <w:rFonts w:hint="eastAsia" w:ascii="仿宋" w:hAnsi="仿宋" w:eastAsia="仿宋"/>
          <w:sz w:val="24"/>
          <w:szCs w:val="28"/>
        </w:rPr>
      </w:pPr>
    </w:p>
    <w:p w14:paraId="4F69EB3F">
      <w:pPr>
        <w:spacing w:line="440" w:lineRule="exact"/>
        <w:rPr>
          <w:rFonts w:hint="eastAsia" w:ascii="仿宋" w:hAnsi="仿宋" w:eastAsia="仿宋"/>
          <w:sz w:val="24"/>
          <w:szCs w:val="28"/>
        </w:rPr>
      </w:pPr>
    </w:p>
    <w:p w14:paraId="2D72BCFC">
      <w:pPr>
        <w:spacing w:line="440" w:lineRule="exact"/>
        <w:rPr>
          <w:rFonts w:hint="eastAsia" w:ascii="仿宋" w:hAnsi="仿宋" w:eastAsia="仿宋"/>
          <w:sz w:val="24"/>
          <w:szCs w:val="28"/>
        </w:rPr>
      </w:pPr>
      <w:r>
        <w:rPr>
          <w:rFonts w:hint="eastAsia" w:ascii="仿宋" w:hAnsi="仿宋" w:eastAsia="仿宋"/>
          <w:sz w:val="24"/>
          <w:szCs w:val="28"/>
        </w:rPr>
        <w:t>承诺内容应包括：</w:t>
      </w:r>
    </w:p>
    <w:p w14:paraId="25C8D502">
      <w:pPr>
        <w:spacing w:line="440" w:lineRule="exact"/>
        <w:rPr>
          <w:rFonts w:hint="eastAsia" w:ascii="仿宋" w:hAnsi="仿宋" w:eastAsia="仿宋"/>
          <w:sz w:val="24"/>
          <w:szCs w:val="28"/>
        </w:rPr>
      </w:pPr>
      <w:r>
        <w:rPr>
          <w:rFonts w:ascii="仿宋" w:hAnsi="仿宋" w:eastAsia="仿宋"/>
          <w:sz w:val="24"/>
          <w:szCs w:val="28"/>
        </w:rPr>
        <w:t>1</w:t>
      </w:r>
      <w:r>
        <w:rPr>
          <w:rFonts w:hint="eastAsia" w:ascii="仿宋" w:hAnsi="仿宋" w:eastAsia="仿宋"/>
          <w:sz w:val="24"/>
          <w:szCs w:val="28"/>
        </w:rPr>
        <w:t>、服务时间、质量承诺</w:t>
      </w:r>
    </w:p>
    <w:p w14:paraId="24A06FD1">
      <w:pPr>
        <w:spacing w:line="440" w:lineRule="exact"/>
        <w:rPr>
          <w:rFonts w:hint="eastAsia" w:ascii="仿宋" w:hAnsi="仿宋" w:eastAsia="仿宋"/>
          <w:sz w:val="24"/>
          <w:szCs w:val="28"/>
        </w:rPr>
      </w:pPr>
      <w:r>
        <w:rPr>
          <w:rFonts w:ascii="仿宋" w:hAnsi="仿宋" w:eastAsia="仿宋"/>
          <w:sz w:val="24"/>
          <w:szCs w:val="28"/>
        </w:rPr>
        <w:t>2</w:t>
      </w:r>
      <w:r>
        <w:rPr>
          <w:rFonts w:hint="eastAsia" w:ascii="仿宋" w:hAnsi="仿宋" w:eastAsia="仿宋"/>
          <w:sz w:val="24"/>
          <w:szCs w:val="28"/>
        </w:rPr>
        <w:t>、本项目验收时应达到的效果和指标；</w:t>
      </w:r>
    </w:p>
    <w:p w14:paraId="39EE6058">
      <w:pPr>
        <w:spacing w:line="440" w:lineRule="exact"/>
        <w:rPr>
          <w:rFonts w:hint="eastAsia" w:ascii="仿宋" w:hAnsi="仿宋" w:eastAsia="仿宋"/>
          <w:sz w:val="24"/>
          <w:szCs w:val="28"/>
        </w:rPr>
      </w:pPr>
      <w:r>
        <w:rPr>
          <w:rFonts w:ascii="仿宋" w:hAnsi="仿宋" w:eastAsia="仿宋"/>
          <w:sz w:val="24"/>
          <w:szCs w:val="28"/>
        </w:rPr>
        <w:t>3</w:t>
      </w:r>
      <w:r>
        <w:rPr>
          <w:rFonts w:hint="eastAsia" w:ascii="仿宋" w:hAnsi="仿宋" w:eastAsia="仿宋"/>
          <w:sz w:val="24"/>
          <w:szCs w:val="28"/>
        </w:rPr>
        <w:t>、其他。</w:t>
      </w:r>
    </w:p>
    <w:p w14:paraId="08F2EB63">
      <w:pPr>
        <w:spacing w:line="440" w:lineRule="exact"/>
        <w:rPr>
          <w:rFonts w:hint="eastAsia"/>
          <w:sz w:val="24"/>
          <w:szCs w:val="28"/>
        </w:rPr>
        <w:sectPr>
          <w:pgSz w:w="11906" w:h="16838"/>
          <w:pgMar w:top="1440" w:right="1800" w:bottom="1440" w:left="1800" w:header="851" w:footer="992" w:gutter="0"/>
          <w:cols w:space="720" w:num="1"/>
          <w:docGrid w:type="lines" w:linePitch="312" w:charSpace="0"/>
        </w:sectPr>
      </w:pPr>
    </w:p>
    <w:p w14:paraId="6A3CD927">
      <w:pPr>
        <w:spacing w:line="440" w:lineRule="exact"/>
        <w:rPr>
          <w:rFonts w:hint="eastAsia"/>
          <w:sz w:val="24"/>
          <w:szCs w:val="28"/>
        </w:rPr>
      </w:pPr>
      <w:r>
        <w:rPr>
          <w:rFonts w:hint="eastAsia"/>
          <w:sz w:val="24"/>
          <w:szCs w:val="28"/>
        </w:rPr>
        <w:t>附件</w:t>
      </w:r>
      <w:r>
        <w:rPr>
          <w:sz w:val="24"/>
          <w:szCs w:val="28"/>
        </w:rPr>
        <w:t>4</w:t>
      </w:r>
    </w:p>
    <w:p w14:paraId="3B63A31B">
      <w:pPr>
        <w:spacing w:line="440" w:lineRule="exact"/>
        <w:rPr>
          <w:rFonts w:hint="eastAsia"/>
          <w:sz w:val="24"/>
          <w:szCs w:val="28"/>
        </w:rPr>
      </w:pPr>
    </w:p>
    <w:p w14:paraId="787518E6">
      <w:pPr>
        <w:spacing w:line="440" w:lineRule="exact"/>
        <w:jc w:val="center"/>
        <w:rPr>
          <w:rFonts w:hint="eastAsia"/>
          <w:b/>
          <w:bCs/>
          <w:sz w:val="24"/>
          <w:szCs w:val="28"/>
        </w:rPr>
      </w:pPr>
      <w:r>
        <w:rPr>
          <w:rFonts w:hint="eastAsia"/>
          <w:b/>
          <w:bCs/>
          <w:sz w:val="24"/>
          <w:szCs w:val="28"/>
        </w:rPr>
        <w:t>报价企业概况（格式可自拟）</w:t>
      </w:r>
    </w:p>
    <w:p w14:paraId="3F492471">
      <w:pPr>
        <w:spacing w:line="440" w:lineRule="exact"/>
        <w:rPr>
          <w:rFonts w:hint="eastAsia"/>
          <w:b/>
          <w:bCs/>
          <w:sz w:val="24"/>
          <w:szCs w:val="28"/>
        </w:rPr>
      </w:pPr>
    </w:p>
    <w:p w14:paraId="7407EAAC">
      <w:pPr>
        <w:spacing w:line="440" w:lineRule="exact"/>
        <w:rPr>
          <w:rFonts w:hint="eastAsia"/>
          <w:b/>
          <w:bCs/>
          <w:sz w:val="24"/>
          <w:szCs w:val="28"/>
        </w:rPr>
      </w:pPr>
    </w:p>
    <w:p w14:paraId="6EC2D0B4">
      <w:pPr>
        <w:spacing w:line="440" w:lineRule="exact"/>
        <w:rPr>
          <w:rFonts w:hint="eastAsia"/>
          <w:b/>
          <w:bCs/>
          <w:sz w:val="24"/>
          <w:szCs w:val="28"/>
        </w:rPr>
      </w:pPr>
    </w:p>
    <w:p w14:paraId="42CD6BEC">
      <w:pPr>
        <w:spacing w:line="440" w:lineRule="exact"/>
        <w:rPr>
          <w:rFonts w:hint="eastAsia"/>
          <w:sz w:val="24"/>
          <w:szCs w:val="28"/>
        </w:rPr>
        <w:sectPr>
          <w:pgSz w:w="11906" w:h="16838"/>
          <w:pgMar w:top="1440" w:right="1800" w:bottom="1440" w:left="1800" w:header="851" w:footer="992" w:gutter="0"/>
          <w:cols w:space="720" w:num="1"/>
          <w:docGrid w:type="lines" w:linePitch="312" w:charSpace="0"/>
        </w:sectPr>
      </w:pPr>
    </w:p>
    <w:p w14:paraId="5DB2112D">
      <w:pPr>
        <w:spacing w:line="440" w:lineRule="exact"/>
        <w:rPr>
          <w:rFonts w:hint="eastAsia"/>
          <w:sz w:val="24"/>
          <w:szCs w:val="28"/>
        </w:rPr>
      </w:pPr>
      <w:r>
        <w:rPr>
          <w:rFonts w:hint="eastAsia"/>
          <w:sz w:val="24"/>
          <w:szCs w:val="28"/>
        </w:rPr>
        <w:t>附件</w:t>
      </w:r>
      <w:r>
        <w:rPr>
          <w:sz w:val="24"/>
          <w:szCs w:val="28"/>
        </w:rPr>
        <w:t>5</w:t>
      </w:r>
    </w:p>
    <w:p w14:paraId="1349E064">
      <w:pPr>
        <w:spacing w:line="440" w:lineRule="exact"/>
        <w:jc w:val="center"/>
        <w:rPr>
          <w:rFonts w:hint="eastAsia"/>
          <w:b/>
          <w:bCs/>
          <w:sz w:val="24"/>
          <w:szCs w:val="28"/>
        </w:rPr>
      </w:pPr>
      <w:r>
        <w:rPr>
          <w:rFonts w:hint="eastAsia"/>
          <w:b/>
          <w:bCs/>
          <w:sz w:val="24"/>
          <w:szCs w:val="28"/>
        </w:rPr>
        <w:t>资格证明文件</w:t>
      </w:r>
    </w:p>
    <w:p w14:paraId="1432052B">
      <w:pPr>
        <w:numPr>
          <w:ilvl w:val="0"/>
          <w:numId w:val="2"/>
        </w:numPr>
        <w:spacing w:line="440" w:lineRule="exact"/>
        <w:rPr>
          <w:rFonts w:hint="eastAsia" w:ascii="仿宋" w:hAnsi="仿宋" w:eastAsia="仿宋"/>
          <w:sz w:val="24"/>
          <w:szCs w:val="28"/>
        </w:rPr>
      </w:pPr>
      <w:r>
        <w:rPr>
          <w:rFonts w:hint="eastAsia" w:ascii="仿宋" w:hAnsi="仿宋" w:eastAsia="仿宋"/>
          <w:sz w:val="24"/>
          <w:szCs w:val="28"/>
        </w:rPr>
        <w:t>企业营业执照（复印件）</w:t>
      </w:r>
    </w:p>
    <w:p w14:paraId="5DFCF5DF">
      <w:pPr>
        <w:numPr>
          <w:ilvl w:val="0"/>
          <w:numId w:val="2"/>
        </w:numPr>
        <w:spacing w:line="440" w:lineRule="exact"/>
        <w:rPr>
          <w:rFonts w:hint="eastAsia" w:ascii="仿宋" w:hAnsi="仿宋" w:eastAsia="仿宋"/>
          <w:sz w:val="24"/>
          <w:szCs w:val="28"/>
        </w:rPr>
      </w:pPr>
      <w:r>
        <w:rPr>
          <w:rFonts w:hint="eastAsia" w:ascii="仿宋" w:hAnsi="仿宋" w:eastAsia="仿宋"/>
          <w:sz w:val="24"/>
          <w:szCs w:val="28"/>
        </w:rPr>
        <w:t>其他资格证明文件</w:t>
      </w:r>
    </w:p>
    <w:p w14:paraId="4C714F24">
      <w:pPr>
        <w:spacing w:line="440" w:lineRule="exact"/>
        <w:rPr>
          <w:rFonts w:hint="eastAsia" w:ascii="仿宋" w:hAnsi="仿宋" w:eastAsia="仿宋"/>
          <w:sz w:val="24"/>
          <w:szCs w:val="28"/>
        </w:rPr>
      </w:pPr>
      <w:r>
        <w:rPr>
          <w:rFonts w:ascii="仿宋" w:hAnsi="仿宋" w:eastAsia="仿宋"/>
          <w:sz w:val="24"/>
          <w:szCs w:val="28"/>
        </w:rPr>
        <w:tab/>
      </w:r>
      <w:r>
        <w:rPr>
          <w:rFonts w:hint="eastAsia" w:ascii="仿宋" w:hAnsi="仿宋" w:eastAsia="仿宋"/>
          <w:sz w:val="24"/>
          <w:szCs w:val="28"/>
        </w:rPr>
        <w:t>……</w:t>
      </w:r>
    </w:p>
    <w:p w14:paraId="31F5FDD5">
      <w:pPr>
        <w:spacing w:line="440" w:lineRule="exact"/>
        <w:rPr>
          <w:rFonts w:hint="eastAsia" w:ascii="仿宋" w:hAnsi="仿宋" w:eastAsia="仿宋"/>
          <w:sz w:val="24"/>
          <w:szCs w:val="28"/>
        </w:rPr>
      </w:pPr>
    </w:p>
    <w:p w14:paraId="4517A17B">
      <w:pPr>
        <w:spacing w:line="440" w:lineRule="exact"/>
        <w:rPr>
          <w:rFonts w:hint="eastAsia" w:ascii="仿宋" w:hAnsi="仿宋" w:eastAsia="仿宋"/>
          <w:b/>
          <w:bCs/>
          <w:sz w:val="24"/>
          <w:szCs w:val="28"/>
        </w:rPr>
      </w:pPr>
      <w:r>
        <w:rPr>
          <w:rFonts w:hint="eastAsia" w:ascii="仿宋" w:hAnsi="仿宋" w:eastAsia="仿宋"/>
          <w:b/>
          <w:bCs/>
          <w:sz w:val="24"/>
          <w:szCs w:val="28"/>
        </w:rPr>
        <w:t>注意：</w:t>
      </w:r>
    </w:p>
    <w:p w14:paraId="369AC200">
      <w:pPr>
        <w:spacing w:line="440" w:lineRule="exact"/>
        <w:rPr>
          <w:rFonts w:hint="eastAsia" w:ascii="仿宋" w:hAnsi="仿宋" w:eastAsia="仿宋"/>
          <w:sz w:val="24"/>
          <w:szCs w:val="28"/>
        </w:rPr>
      </w:pPr>
      <w:r>
        <w:rPr>
          <w:rFonts w:ascii="仿宋" w:hAnsi="仿宋" w:eastAsia="仿宋"/>
          <w:sz w:val="24"/>
          <w:szCs w:val="28"/>
        </w:rPr>
        <w:t>1.</w:t>
      </w:r>
      <w:r>
        <w:rPr>
          <w:rFonts w:hint="eastAsia" w:ascii="仿宋" w:hAnsi="仿宋" w:eastAsia="仿宋"/>
          <w:sz w:val="24"/>
          <w:szCs w:val="28"/>
        </w:rPr>
        <w:t>报价供应商应提交相关证明文件，以及提供其他有关资料。</w:t>
      </w:r>
    </w:p>
    <w:p w14:paraId="6A115D6D">
      <w:pPr>
        <w:spacing w:line="440" w:lineRule="exact"/>
        <w:rPr>
          <w:rFonts w:hint="eastAsia" w:ascii="仿宋" w:hAnsi="仿宋" w:eastAsia="仿宋"/>
          <w:sz w:val="24"/>
          <w:szCs w:val="28"/>
        </w:rPr>
      </w:pPr>
      <w:r>
        <w:rPr>
          <w:rFonts w:ascii="仿宋" w:hAnsi="仿宋" w:eastAsia="仿宋"/>
          <w:sz w:val="24"/>
          <w:szCs w:val="28"/>
        </w:rPr>
        <w:t>2.</w:t>
      </w:r>
      <w:r>
        <w:rPr>
          <w:rFonts w:hint="eastAsia" w:ascii="仿宋" w:hAnsi="仿宋" w:eastAsia="仿宋"/>
          <w:sz w:val="24"/>
          <w:szCs w:val="28"/>
        </w:rPr>
        <w:t>报价供应商提供的资格文件将由采购人及买方使用，并据此进行评价和判断，确定比价供应商的资格和履约能力。</w:t>
      </w:r>
    </w:p>
    <w:p w14:paraId="373A2039">
      <w:pPr>
        <w:spacing w:line="440" w:lineRule="exact"/>
        <w:rPr>
          <w:rFonts w:hint="eastAsia" w:ascii="仿宋" w:hAnsi="仿宋" w:eastAsia="仿宋"/>
          <w:sz w:val="24"/>
          <w:szCs w:val="28"/>
        </w:rPr>
      </w:pPr>
      <w:r>
        <w:rPr>
          <w:rFonts w:ascii="仿宋" w:hAnsi="仿宋" w:eastAsia="仿宋"/>
          <w:sz w:val="24"/>
          <w:szCs w:val="28"/>
        </w:rPr>
        <w:t>3.</w:t>
      </w:r>
      <w:r>
        <w:rPr>
          <w:rFonts w:hint="eastAsia" w:ascii="仿宋" w:hAnsi="仿宋" w:eastAsia="仿宋"/>
          <w:sz w:val="24"/>
          <w:szCs w:val="28"/>
        </w:rPr>
        <w:t>报价供应商提交的文件将给予保密，但不退还。</w:t>
      </w:r>
    </w:p>
    <w:p w14:paraId="4BF30DB0">
      <w:pPr>
        <w:spacing w:line="440" w:lineRule="exact"/>
        <w:rPr>
          <w:rFonts w:hint="eastAsia"/>
          <w:sz w:val="24"/>
          <w:szCs w:val="28"/>
        </w:rPr>
        <w:sectPr>
          <w:pgSz w:w="11906" w:h="16838"/>
          <w:pgMar w:top="1440" w:right="1800" w:bottom="1440" w:left="1800" w:header="851" w:footer="992" w:gutter="0"/>
          <w:cols w:space="720" w:num="1"/>
          <w:docGrid w:type="lines" w:linePitch="312" w:charSpace="0"/>
        </w:sectPr>
      </w:pPr>
    </w:p>
    <w:p w14:paraId="4660F0C1">
      <w:pPr>
        <w:spacing w:line="440" w:lineRule="exact"/>
        <w:rPr>
          <w:rFonts w:hint="eastAsia"/>
          <w:sz w:val="24"/>
          <w:szCs w:val="28"/>
        </w:rPr>
      </w:pPr>
      <w:r>
        <w:rPr>
          <w:rFonts w:hint="eastAsia"/>
          <w:sz w:val="24"/>
          <w:szCs w:val="28"/>
        </w:rPr>
        <w:t>附件</w:t>
      </w:r>
      <w:r>
        <w:rPr>
          <w:sz w:val="24"/>
          <w:szCs w:val="28"/>
        </w:rPr>
        <w:t>6</w:t>
      </w:r>
    </w:p>
    <w:p w14:paraId="1000F176">
      <w:pPr>
        <w:spacing w:line="440" w:lineRule="exact"/>
        <w:rPr>
          <w:rFonts w:hint="eastAsia"/>
          <w:b/>
          <w:sz w:val="24"/>
          <w:szCs w:val="28"/>
        </w:rPr>
      </w:pPr>
    </w:p>
    <w:p w14:paraId="0F3BEB13">
      <w:pPr>
        <w:spacing w:line="440" w:lineRule="exact"/>
        <w:jc w:val="center"/>
        <w:rPr>
          <w:rFonts w:hint="eastAsia"/>
          <w:sz w:val="24"/>
          <w:szCs w:val="28"/>
        </w:rPr>
      </w:pPr>
      <w:r>
        <w:rPr>
          <w:rFonts w:hint="eastAsia"/>
          <w:b/>
          <w:sz w:val="24"/>
          <w:szCs w:val="28"/>
        </w:rPr>
        <w:t>近三年项目业绩表</w:t>
      </w:r>
      <w:r>
        <w:rPr>
          <w:rFonts w:hint="eastAsia"/>
          <w:b/>
          <w:bCs/>
          <w:sz w:val="24"/>
          <w:szCs w:val="28"/>
        </w:rPr>
        <w:t>（格式可拟定，业绩表内的项目须提供配套合同复印件）</w:t>
      </w:r>
    </w:p>
    <w:p w14:paraId="08B5FC04">
      <w:pPr>
        <w:spacing w:line="440" w:lineRule="exact"/>
        <w:rPr>
          <w:rFonts w:hint="eastAsia"/>
          <w:bCs/>
          <w:sz w:val="24"/>
          <w:szCs w:val="28"/>
        </w:rPr>
      </w:pPr>
    </w:p>
    <w:tbl>
      <w:tblPr>
        <w:tblStyle w:val="15"/>
        <w:tblW w:w="5000" w:type="pct"/>
        <w:tblInd w:w="0" w:type="dxa"/>
        <w:tblLayout w:type="autofit"/>
        <w:tblCellMar>
          <w:top w:w="0" w:type="dxa"/>
          <w:left w:w="30" w:type="dxa"/>
          <w:bottom w:w="0" w:type="dxa"/>
          <w:right w:w="30" w:type="dxa"/>
        </w:tblCellMar>
      </w:tblPr>
      <w:tblGrid>
        <w:gridCol w:w="782"/>
        <w:gridCol w:w="1996"/>
        <w:gridCol w:w="3330"/>
        <w:gridCol w:w="1425"/>
        <w:gridCol w:w="1425"/>
      </w:tblGrid>
      <w:tr w14:paraId="26397702">
        <w:trPr>
          <w:trHeight w:val="760" w:hRule="exact"/>
        </w:trPr>
        <w:tc>
          <w:tcPr>
            <w:tcW w:w="437" w:type="pct"/>
            <w:tcBorders>
              <w:top w:val="single" w:color="auto" w:sz="12" w:space="0"/>
              <w:left w:val="single" w:color="auto" w:sz="12" w:space="0"/>
              <w:bottom w:val="single" w:color="auto" w:sz="12" w:space="0"/>
              <w:right w:val="single" w:color="auto" w:sz="6" w:space="0"/>
            </w:tcBorders>
            <w:vAlign w:val="center"/>
          </w:tcPr>
          <w:p w14:paraId="4891DD33">
            <w:pPr>
              <w:spacing w:line="440" w:lineRule="exact"/>
              <w:jc w:val="center"/>
              <w:rPr>
                <w:rFonts w:hint="eastAsia" w:ascii="仿宋" w:hAnsi="仿宋" w:eastAsia="仿宋"/>
                <w:bCs/>
                <w:sz w:val="24"/>
                <w:szCs w:val="28"/>
              </w:rPr>
            </w:pPr>
            <w:r>
              <w:rPr>
                <w:rFonts w:hint="eastAsia" w:ascii="仿宋" w:hAnsi="仿宋" w:eastAsia="仿宋"/>
                <w:bCs/>
                <w:sz w:val="24"/>
                <w:szCs w:val="28"/>
              </w:rPr>
              <w:t>序号</w:t>
            </w:r>
          </w:p>
        </w:tc>
        <w:tc>
          <w:tcPr>
            <w:tcW w:w="1114" w:type="pct"/>
            <w:tcBorders>
              <w:top w:val="single" w:color="auto" w:sz="12" w:space="0"/>
              <w:left w:val="single" w:color="auto" w:sz="6" w:space="0"/>
              <w:bottom w:val="single" w:color="auto" w:sz="12" w:space="0"/>
              <w:right w:val="single" w:color="auto" w:sz="6" w:space="0"/>
            </w:tcBorders>
            <w:vAlign w:val="center"/>
          </w:tcPr>
          <w:p w14:paraId="1EDFCCC3">
            <w:pPr>
              <w:spacing w:line="440" w:lineRule="exact"/>
              <w:jc w:val="center"/>
              <w:rPr>
                <w:rFonts w:hint="eastAsia" w:ascii="仿宋" w:hAnsi="仿宋" w:eastAsia="仿宋"/>
                <w:bCs/>
                <w:sz w:val="24"/>
                <w:szCs w:val="28"/>
              </w:rPr>
            </w:pPr>
            <w:r>
              <w:rPr>
                <w:rFonts w:hint="eastAsia" w:ascii="仿宋" w:hAnsi="仿宋" w:eastAsia="仿宋"/>
                <w:bCs/>
                <w:sz w:val="24"/>
                <w:szCs w:val="28"/>
              </w:rPr>
              <w:t>业主名称</w:t>
            </w:r>
          </w:p>
        </w:tc>
        <w:tc>
          <w:tcPr>
            <w:tcW w:w="1858" w:type="pct"/>
            <w:tcBorders>
              <w:top w:val="single" w:color="auto" w:sz="12" w:space="0"/>
              <w:left w:val="single" w:color="auto" w:sz="6" w:space="0"/>
              <w:bottom w:val="single" w:color="auto" w:sz="12" w:space="0"/>
              <w:right w:val="single" w:color="auto" w:sz="4" w:space="0"/>
            </w:tcBorders>
            <w:vAlign w:val="center"/>
          </w:tcPr>
          <w:p w14:paraId="0ABF2983">
            <w:pPr>
              <w:spacing w:line="440" w:lineRule="exact"/>
              <w:jc w:val="center"/>
              <w:rPr>
                <w:rFonts w:hint="eastAsia" w:ascii="仿宋" w:hAnsi="仿宋" w:eastAsia="仿宋"/>
                <w:bCs/>
                <w:sz w:val="24"/>
                <w:szCs w:val="28"/>
              </w:rPr>
            </w:pPr>
            <w:r>
              <w:rPr>
                <w:rFonts w:hint="eastAsia" w:ascii="仿宋" w:hAnsi="仿宋" w:eastAsia="仿宋"/>
                <w:bCs/>
                <w:sz w:val="24"/>
                <w:szCs w:val="28"/>
              </w:rPr>
              <w:t>相关业绩</w:t>
            </w:r>
          </w:p>
        </w:tc>
        <w:tc>
          <w:tcPr>
            <w:tcW w:w="795" w:type="pct"/>
            <w:tcBorders>
              <w:top w:val="single" w:color="auto" w:sz="12" w:space="0"/>
              <w:left w:val="single" w:color="auto" w:sz="4" w:space="0"/>
              <w:bottom w:val="single" w:color="auto" w:sz="12" w:space="0"/>
              <w:right w:val="single" w:color="auto" w:sz="4" w:space="0"/>
            </w:tcBorders>
            <w:vAlign w:val="center"/>
          </w:tcPr>
          <w:p w14:paraId="62A843CE">
            <w:pPr>
              <w:spacing w:line="440" w:lineRule="exact"/>
              <w:jc w:val="center"/>
              <w:rPr>
                <w:rFonts w:hint="eastAsia" w:ascii="仿宋" w:hAnsi="仿宋" w:eastAsia="仿宋"/>
                <w:bCs/>
                <w:sz w:val="24"/>
                <w:szCs w:val="28"/>
              </w:rPr>
            </w:pPr>
            <w:r>
              <w:rPr>
                <w:rFonts w:hint="eastAsia" w:ascii="仿宋" w:hAnsi="仿宋" w:eastAsia="仿宋"/>
                <w:bCs/>
                <w:sz w:val="24"/>
                <w:szCs w:val="28"/>
              </w:rPr>
              <w:t>业绩时间</w:t>
            </w:r>
          </w:p>
        </w:tc>
        <w:tc>
          <w:tcPr>
            <w:tcW w:w="795" w:type="pct"/>
            <w:tcBorders>
              <w:top w:val="single" w:color="auto" w:sz="12" w:space="0"/>
              <w:left w:val="single" w:color="auto" w:sz="4" w:space="0"/>
              <w:bottom w:val="single" w:color="auto" w:sz="12" w:space="0"/>
              <w:right w:val="single" w:color="auto" w:sz="12" w:space="0"/>
            </w:tcBorders>
            <w:vAlign w:val="center"/>
          </w:tcPr>
          <w:p w14:paraId="6C3E1F08">
            <w:pPr>
              <w:spacing w:line="440" w:lineRule="exact"/>
              <w:jc w:val="center"/>
              <w:rPr>
                <w:rFonts w:hint="eastAsia" w:ascii="仿宋" w:hAnsi="仿宋" w:eastAsia="仿宋"/>
                <w:bCs/>
                <w:sz w:val="24"/>
                <w:szCs w:val="28"/>
              </w:rPr>
            </w:pPr>
            <w:r>
              <w:rPr>
                <w:rFonts w:hint="eastAsia" w:ascii="仿宋" w:hAnsi="仿宋" w:eastAsia="仿宋"/>
                <w:bCs/>
                <w:sz w:val="24"/>
                <w:szCs w:val="28"/>
              </w:rPr>
              <w:t>备注</w:t>
            </w:r>
          </w:p>
        </w:tc>
      </w:tr>
      <w:tr w14:paraId="515195BD">
        <w:tblPrEx>
          <w:tblCellMar>
            <w:top w:w="0" w:type="dxa"/>
            <w:left w:w="30" w:type="dxa"/>
            <w:bottom w:w="0" w:type="dxa"/>
            <w:right w:w="30" w:type="dxa"/>
          </w:tblCellMar>
        </w:tblPrEx>
        <w:trPr>
          <w:trHeight w:val="567" w:hRule="exact"/>
        </w:trPr>
        <w:tc>
          <w:tcPr>
            <w:tcW w:w="437" w:type="pct"/>
            <w:tcBorders>
              <w:top w:val="single" w:color="auto" w:sz="12" w:space="0"/>
              <w:left w:val="single" w:color="auto" w:sz="12" w:space="0"/>
              <w:bottom w:val="single" w:color="auto" w:sz="6" w:space="0"/>
              <w:right w:val="single" w:color="auto" w:sz="6" w:space="0"/>
            </w:tcBorders>
            <w:vAlign w:val="center"/>
          </w:tcPr>
          <w:p w14:paraId="0597605F">
            <w:pPr>
              <w:spacing w:line="440" w:lineRule="exact"/>
              <w:rPr>
                <w:rFonts w:hint="eastAsia" w:ascii="仿宋" w:hAnsi="仿宋" w:eastAsia="仿宋"/>
                <w:bCs/>
                <w:sz w:val="24"/>
                <w:szCs w:val="28"/>
              </w:rPr>
            </w:pPr>
          </w:p>
        </w:tc>
        <w:tc>
          <w:tcPr>
            <w:tcW w:w="1114" w:type="pct"/>
            <w:tcBorders>
              <w:top w:val="single" w:color="auto" w:sz="12" w:space="0"/>
              <w:left w:val="single" w:color="auto" w:sz="6" w:space="0"/>
              <w:bottom w:val="single" w:color="auto" w:sz="6" w:space="0"/>
              <w:right w:val="single" w:color="auto" w:sz="6" w:space="0"/>
            </w:tcBorders>
            <w:vAlign w:val="center"/>
          </w:tcPr>
          <w:p w14:paraId="1B58CB6B">
            <w:pPr>
              <w:spacing w:line="440" w:lineRule="exact"/>
              <w:rPr>
                <w:rFonts w:hint="eastAsia" w:ascii="仿宋" w:hAnsi="仿宋" w:eastAsia="仿宋"/>
                <w:bCs/>
                <w:sz w:val="24"/>
                <w:szCs w:val="28"/>
              </w:rPr>
            </w:pPr>
          </w:p>
        </w:tc>
        <w:tc>
          <w:tcPr>
            <w:tcW w:w="1858" w:type="pct"/>
            <w:tcBorders>
              <w:top w:val="single" w:color="auto" w:sz="12" w:space="0"/>
              <w:left w:val="single" w:color="auto" w:sz="6" w:space="0"/>
              <w:bottom w:val="single" w:color="auto" w:sz="6" w:space="0"/>
              <w:right w:val="single" w:color="auto" w:sz="4" w:space="0"/>
            </w:tcBorders>
            <w:vAlign w:val="center"/>
          </w:tcPr>
          <w:p w14:paraId="38809679">
            <w:pPr>
              <w:spacing w:line="440" w:lineRule="exact"/>
              <w:rPr>
                <w:rFonts w:hint="eastAsia"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4" w:space="0"/>
            </w:tcBorders>
            <w:vAlign w:val="center"/>
          </w:tcPr>
          <w:p w14:paraId="38196830">
            <w:pPr>
              <w:spacing w:line="440" w:lineRule="exact"/>
              <w:rPr>
                <w:rFonts w:hint="eastAsia" w:ascii="仿宋" w:hAnsi="仿宋" w:eastAsia="仿宋"/>
                <w:bCs/>
                <w:sz w:val="24"/>
                <w:szCs w:val="28"/>
              </w:rPr>
            </w:pPr>
          </w:p>
        </w:tc>
        <w:tc>
          <w:tcPr>
            <w:tcW w:w="795" w:type="pct"/>
            <w:tcBorders>
              <w:top w:val="single" w:color="auto" w:sz="12" w:space="0"/>
              <w:left w:val="single" w:color="auto" w:sz="4" w:space="0"/>
              <w:bottom w:val="single" w:color="auto" w:sz="6" w:space="0"/>
              <w:right w:val="single" w:color="auto" w:sz="12" w:space="0"/>
            </w:tcBorders>
            <w:vAlign w:val="center"/>
          </w:tcPr>
          <w:p w14:paraId="41BED72C">
            <w:pPr>
              <w:spacing w:line="440" w:lineRule="exact"/>
              <w:rPr>
                <w:rFonts w:hint="eastAsia" w:ascii="仿宋" w:hAnsi="仿宋" w:eastAsia="仿宋"/>
                <w:bCs/>
                <w:sz w:val="24"/>
                <w:szCs w:val="28"/>
              </w:rPr>
            </w:pPr>
          </w:p>
        </w:tc>
      </w:tr>
      <w:tr w14:paraId="63798B3B">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41EA5CEF">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56FC1E88">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212C1BDA">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343548DF">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7B396235">
            <w:pPr>
              <w:spacing w:line="440" w:lineRule="exact"/>
              <w:rPr>
                <w:rFonts w:hint="eastAsia" w:ascii="仿宋" w:hAnsi="仿宋" w:eastAsia="仿宋"/>
                <w:bCs/>
                <w:sz w:val="24"/>
                <w:szCs w:val="28"/>
              </w:rPr>
            </w:pPr>
          </w:p>
        </w:tc>
      </w:tr>
      <w:tr w14:paraId="628B7635">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48DF3990">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36B02F11">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200A6C47">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4AE8B61C">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5C9F339A">
            <w:pPr>
              <w:spacing w:line="440" w:lineRule="exact"/>
              <w:rPr>
                <w:rFonts w:hint="eastAsia" w:ascii="仿宋" w:hAnsi="仿宋" w:eastAsia="仿宋"/>
                <w:bCs/>
                <w:sz w:val="24"/>
                <w:szCs w:val="28"/>
              </w:rPr>
            </w:pPr>
          </w:p>
        </w:tc>
      </w:tr>
      <w:tr w14:paraId="154C02D0">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1B42B23D">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68BC7F9C">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22787F61">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03BB81CF">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4B6FA64F">
            <w:pPr>
              <w:spacing w:line="440" w:lineRule="exact"/>
              <w:rPr>
                <w:rFonts w:hint="eastAsia" w:ascii="仿宋" w:hAnsi="仿宋" w:eastAsia="仿宋"/>
                <w:bCs/>
                <w:sz w:val="24"/>
                <w:szCs w:val="28"/>
              </w:rPr>
            </w:pPr>
          </w:p>
        </w:tc>
      </w:tr>
      <w:tr w14:paraId="1C5FCC87">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20149E6F">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520EDCFE">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1F40DFDB">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16D89766">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0E34D86F">
            <w:pPr>
              <w:spacing w:line="440" w:lineRule="exact"/>
              <w:rPr>
                <w:rFonts w:hint="eastAsia" w:ascii="仿宋" w:hAnsi="仿宋" w:eastAsia="仿宋"/>
                <w:bCs/>
                <w:sz w:val="24"/>
                <w:szCs w:val="28"/>
              </w:rPr>
            </w:pPr>
          </w:p>
        </w:tc>
      </w:tr>
      <w:tr w14:paraId="6384EEA3">
        <w:tblPrEx>
          <w:tblCellMar>
            <w:top w:w="0" w:type="dxa"/>
            <w:left w:w="30" w:type="dxa"/>
            <w:bottom w:w="0" w:type="dxa"/>
            <w:right w:w="30" w:type="dxa"/>
          </w:tblCellMar>
        </w:tblPrEx>
        <w:trPr>
          <w:trHeight w:val="567" w:hRule="exact"/>
        </w:trPr>
        <w:tc>
          <w:tcPr>
            <w:tcW w:w="437" w:type="pct"/>
            <w:tcBorders>
              <w:top w:val="single" w:color="auto" w:sz="6" w:space="0"/>
              <w:left w:val="single" w:color="auto" w:sz="12" w:space="0"/>
              <w:bottom w:val="single" w:color="auto" w:sz="6" w:space="0"/>
              <w:right w:val="single" w:color="auto" w:sz="6" w:space="0"/>
            </w:tcBorders>
            <w:vAlign w:val="center"/>
          </w:tcPr>
          <w:p w14:paraId="22362558">
            <w:pPr>
              <w:spacing w:line="440" w:lineRule="exact"/>
              <w:rPr>
                <w:rFonts w:hint="eastAsia" w:ascii="仿宋" w:hAnsi="仿宋" w:eastAsia="仿宋"/>
                <w:bCs/>
                <w:sz w:val="24"/>
                <w:szCs w:val="28"/>
              </w:rPr>
            </w:pPr>
          </w:p>
        </w:tc>
        <w:tc>
          <w:tcPr>
            <w:tcW w:w="1114" w:type="pct"/>
            <w:tcBorders>
              <w:top w:val="single" w:color="auto" w:sz="6" w:space="0"/>
              <w:left w:val="single" w:color="auto" w:sz="6" w:space="0"/>
              <w:bottom w:val="single" w:color="auto" w:sz="6" w:space="0"/>
              <w:right w:val="single" w:color="auto" w:sz="6" w:space="0"/>
            </w:tcBorders>
            <w:vAlign w:val="center"/>
          </w:tcPr>
          <w:p w14:paraId="124373B1">
            <w:pPr>
              <w:spacing w:line="440" w:lineRule="exact"/>
              <w:rPr>
                <w:rFonts w:hint="eastAsia" w:ascii="仿宋" w:hAnsi="仿宋" w:eastAsia="仿宋"/>
                <w:bCs/>
                <w:sz w:val="24"/>
                <w:szCs w:val="28"/>
              </w:rPr>
            </w:pPr>
          </w:p>
        </w:tc>
        <w:tc>
          <w:tcPr>
            <w:tcW w:w="1858" w:type="pct"/>
            <w:tcBorders>
              <w:top w:val="single" w:color="auto" w:sz="6" w:space="0"/>
              <w:left w:val="single" w:color="auto" w:sz="6" w:space="0"/>
              <w:bottom w:val="single" w:color="auto" w:sz="6" w:space="0"/>
              <w:right w:val="single" w:color="auto" w:sz="4" w:space="0"/>
            </w:tcBorders>
            <w:vAlign w:val="center"/>
          </w:tcPr>
          <w:p w14:paraId="40BA1528">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4" w:space="0"/>
            </w:tcBorders>
            <w:vAlign w:val="center"/>
          </w:tcPr>
          <w:p w14:paraId="3DCA80CA">
            <w:pPr>
              <w:spacing w:line="440" w:lineRule="exact"/>
              <w:rPr>
                <w:rFonts w:hint="eastAsia" w:ascii="仿宋" w:hAnsi="仿宋" w:eastAsia="仿宋"/>
                <w:bCs/>
                <w:sz w:val="24"/>
                <w:szCs w:val="28"/>
              </w:rPr>
            </w:pPr>
          </w:p>
        </w:tc>
        <w:tc>
          <w:tcPr>
            <w:tcW w:w="795" w:type="pct"/>
            <w:tcBorders>
              <w:top w:val="single" w:color="auto" w:sz="6" w:space="0"/>
              <w:left w:val="single" w:color="auto" w:sz="4" w:space="0"/>
              <w:bottom w:val="single" w:color="auto" w:sz="6" w:space="0"/>
              <w:right w:val="single" w:color="auto" w:sz="12" w:space="0"/>
            </w:tcBorders>
            <w:vAlign w:val="center"/>
          </w:tcPr>
          <w:p w14:paraId="1CBB9662">
            <w:pPr>
              <w:spacing w:line="440" w:lineRule="exact"/>
              <w:rPr>
                <w:rFonts w:hint="eastAsia" w:ascii="仿宋" w:hAnsi="仿宋" w:eastAsia="仿宋"/>
                <w:bCs/>
                <w:sz w:val="24"/>
                <w:szCs w:val="28"/>
              </w:rPr>
            </w:pPr>
          </w:p>
        </w:tc>
      </w:tr>
    </w:tbl>
    <w:p w14:paraId="7DC3D687">
      <w:pPr>
        <w:spacing w:line="440" w:lineRule="exact"/>
        <w:rPr>
          <w:rFonts w:hint="eastAsia" w:ascii="仿宋" w:hAnsi="仿宋" w:eastAsia="仿宋"/>
          <w:bCs/>
          <w:sz w:val="24"/>
          <w:szCs w:val="28"/>
        </w:rPr>
      </w:pPr>
    </w:p>
    <w:p w14:paraId="5D09E7C9">
      <w:pPr>
        <w:spacing w:line="440" w:lineRule="exact"/>
        <w:rPr>
          <w:rFonts w:hint="eastAsia" w:ascii="仿宋" w:hAnsi="仿宋" w:eastAsia="仿宋"/>
          <w:bCs/>
          <w:sz w:val="24"/>
          <w:szCs w:val="28"/>
        </w:rPr>
      </w:pPr>
    </w:p>
    <w:p w14:paraId="600DF5D7">
      <w:pPr>
        <w:spacing w:line="440" w:lineRule="exact"/>
        <w:rPr>
          <w:rFonts w:hint="eastAsia" w:ascii="仿宋" w:hAnsi="仿宋" w:eastAsia="仿宋"/>
          <w:bCs/>
          <w:sz w:val="24"/>
          <w:szCs w:val="28"/>
        </w:rPr>
      </w:pPr>
    </w:p>
    <w:p w14:paraId="129D218F">
      <w:pPr>
        <w:spacing w:line="440" w:lineRule="exact"/>
        <w:rPr>
          <w:rFonts w:hint="eastAsia" w:ascii="仿宋" w:hAnsi="仿宋" w:eastAsia="仿宋"/>
          <w:bCs/>
          <w:sz w:val="24"/>
          <w:szCs w:val="28"/>
        </w:rPr>
      </w:pPr>
      <w:r>
        <w:rPr>
          <w:rFonts w:hint="eastAsia" w:ascii="仿宋" w:hAnsi="仿宋" w:eastAsia="仿宋"/>
          <w:bCs/>
          <w:sz w:val="24"/>
          <w:szCs w:val="28"/>
        </w:rPr>
        <w:t>报价供应商名称（公章）：</w:t>
      </w:r>
    </w:p>
    <w:p w14:paraId="311D265E">
      <w:pPr>
        <w:spacing w:line="440" w:lineRule="exact"/>
        <w:rPr>
          <w:rFonts w:hint="eastAsia" w:ascii="仿宋" w:hAnsi="仿宋" w:eastAsia="仿宋"/>
          <w:bCs/>
          <w:sz w:val="24"/>
          <w:szCs w:val="28"/>
        </w:rPr>
      </w:pPr>
      <w:r>
        <w:rPr>
          <w:rFonts w:hint="eastAsia" w:ascii="仿宋" w:hAnsi="仿宋" w:eastAsia="仿宋"/>
          <w:bCs/>
          <w:sz w:val="24"/>
          <w:szCs w:val="28"/>
        </w:rPr>
        <w:t>报价供应商法定代表或其授权人：（签字或盖章）</w:t>
      </w:r>
    </w:p>
    <w:p w14:paraId="4655BF90">
      <w:pPr>
        <w:spacing w:line="440" w:lineRule="exact"/>
        <w:rPr>
          <w:rFonts w:hint="eastAsia" w:ascii="仿宋" w:hAnsi="仿宋" w:eastAsia="仿宋"/>
          <w:sz w:val="24"/>
          <w:szCs w:val="28"/>
        </w:rPr>
      </w:pPr>
    </w:p>
    <w:p w14:paraId="62A2C1DD">
      <w:pPr>
        <w:spacing w:line="440" w:lineRule="exact"/>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p>
    <w:p w14:paraId="18F4313A">
      <w:pPr>
        <w:spacing w:line="440" w:lineRule="exact"/>
        <w:rPr>
          <w:rFonts w:hint="eastAsia" w:ascii="仿宋" w:hAnsi="仿宋" w:eastAsia="仿宋"/>
          <w:b/>
          <w:bCs/>
          <w:sz w:val="24"/>
          <w:szCs w:val="28"/>
        </w:rPr>
      </w:pPr>
    </w:p>
    <w:p w14:paraId="6B112DCC">
      <w:pPr>
        <w:spacing w:line="440" w:lineRule="exact"/>
        <w:rPr>
          <w:rFonts w:hint="eastAsia"/>
          <w:b/>
          <w:bCs/>
          <w:sz w:val="24"/>
          <w:szCs w:val="28"/>
        </w:rPr>
        <w:sectPr>
          <w:pgSz w:w="11906" w:h="16838"/>
          <w:pgMar w:top="1247" w:right="1474" w:bottom="1247" w:left="1474" w:header="851" w:footer="992" w:gutter="0"/>
          <w:cols w:space="720" w:num="1"/>
        </w:sectPr>
      </w:pPr>
    </w:p>
    <w:p w14:paraId="0D16E000">
      <w:pPr>
        <w:spacing w:line="440" w:lineRule="exact"/>
        <w:rPr>
          <w:rFonts w:hint="eastAsia"/>
          <w:sz w:val="24"/>
          <w:szCs w:val="28"/>
        </w:rPr>
      </w:pPr>
      <w:r>
        <w:rPr>
          <w:rFonts w:hint="eastAsia"/>
          <w:sz w:val="24"/>
          <w:szCs w:val="28"/>
        </w:rPr>
        <w:t>附件</w:t>
      </w:r>
      <w:r>
        <w:rPr>
          <w:sz w:val="24"/>
          <w:szCs w:val="28"/>
        </w:rPr>
        <w:t>7</w:t>
      </w:r>
    </w:p>
    <w:p w14:paraId="419C2143">
      <w:pPr>
        <w:spacing w:line="440" w:lineRule="exact"/>
        <w:rPr>
          <w:rFonts w:hint="eastAsia"/>
          <w:sz w:val="24"/>
          <w:szCs w:val="28"/>
        </w:rPr>
      </w:pPr>
    </w:p>
    <w:p w14:paraId="1DB4E933">
      <w:pPr>
        <w:spacing w:line="440" w:lineRule="exact"/>
        <w:jc w:val="center"/>
        <w:rPr>
          <w:rFonts w:hint="eastAsia"/>
          <w:b/>
          <w:sz w:val="24"/>
          <w:szCs w:val="28"/>
        </w:rPr>
      </w:pPr>
      <w:r>
        <w:rPr>
          <w:rFonts w:hint="eastAsia"/>
          <w:b/>
          <w:sz w:val="24"/>
          <w:szCs w:val="28"/>
        </w:rPr>
        <w:t>参加政府采购活动前</w:t>
      </w:r>
      <w:r>
        <w:rPr>
          <w:b/>
          <w:sz w:val="24"/>
          <w:szCs w:val="28"/>
        </w:rPr>
        <w:t>3</w:t>
      </w:r>
      <w:r>
        <w:rPr>
          <w:rFonts w:hint="eastAsia"/>
          <w:b/>
          <w:sz w:val="24"/>
          <w:szCs w:val="28"/>
        </w:rPr>
        <w:t>年内在经营活动中没有重大违法记录的书面声明</w:t>
      </w:r>
    </w:p>
    <w:p w14:paraId="4063058C">
      <w:pPr>
        <w:spacing w:line="440" w:lineRule="exact"/>
        <w:ind w:firstLine="480" w:firstLineChars="200"/>
        <w:rPr>
          <w:rFonts w:hint="eastAsia" w:ascii="仿宋" w:hAnsi="仿宋" w:eastAsia="仿宋"/>
          <w:bCs/>
          <w:sz w:val="24"/>
          <w:szCs w:val="28"/>
        </w:rPr>
      </w:pPr>
      <w:r>
        <w:rPr>
          <w:rFonts w:hint="eastAsia" w:ascii="仿宋" w:hAnsi="仿宋" w:eastAsia="仿宋"/>
          <w:bCs/>
          <w:sz w:val="24"/>
          <w:szCs w:val="28"/>
        </w:rPr>
        <w:t>我单位（投标人名称）近三年内，在参加政府采购活动中没有重大违法记录，特此声明。</w:t>
      </w:r>
    </w:p>
    <w:p w14:paraId="31D8924B">
      <w:pPr>
        <w:spacing w:line="440" w:lineRule="exact"/>
        <w:ind w:firstLine="480" w:firstLineChars="200"/>
        <w:rPr>
          <w:rFonts w:hint="eastAsia" w:ascii="仿宋" w:hAnsi="仿宋" w:eastAsia="仿宋"/>
          <w:bCs/>
          <w:sz w:val="24"/>
          <w:szCs w:val="28"/>
        </w:rPr>
      </w:pPr>
      <w:r>
        <w:rPr>
          <w:rFonts w:hint="eastAsia" w:ascii="仿宋" w:hAnsi="仿宋" w:eastAsia="仿宋"/>
          <w:bCs/>
          <w:sz w:val="24"/>
          <w:szCs w:val="28"/>
        </w:rPr>
        <w:t>若采购人在本项目采购过程中发现我单位近三年内在政府采购活动中有重大违法记录，我单位将无条件地退出本项目的投标，并承担因此引起的一切后果，</w:t>
      </w:r>
    </w:p>
    <w:p w14:paraId="5C711731">
      <w:pPr>
        <w:spacing w:line="440" w:lineRule="exact"/>
        <w:rPr>
          <w:rFonts w:hint="eastAsia" w:ascii="仿宋" w:hAnsi="仿宋" w:eastAsia="仿宋"/>
          <w:bCs/>
          <w:sz w:val="24"/>
          <w:szCs w:val="28"/>
        </w:rPr>
      </w:pPr>
    </w:p>
    <w:p w14:paraId="7993ABBB">
      <w:pPr>
        <w:spacing w:line="440" w:lineRule="exact"/>
        <w:rPr>
          <w:rFonts w:hint="eastAsia" w:ascii="仿宋" w:hAnsi="仿宋" w:eastAsia="仿宋"/>
          <w:bCs/>
          <w:sz w:val="24"/>
          <w:szCs w:val="28"/>
        </w:rPr>
      </w:pPr>
    </w:p>
    <w:p w14:paraId="31302B95">
      <w:pPr>
        <w:spacing w:line="440" w:lineRule="exact"/>
        <w:rPr>
          <w:rFonts w:hint="eastAsia" w:ascii="仿宋" w:hAnsi="仿宋" w:eastAsia="仿宋"/>
          <w:bCs/>
          <w:sz w:val="24"/>
          <w:szCs w:val="28"/>
        </w:rPr>
      </w:pPr>
    </w:p>
    <w:p w14:paraId="2004B658">
      <w:pPr>
        <w:spacing w:line="440" w:lineRule="exact"/>
        <w:rPr>
          <w:rFonts w:hint="eastAsia" w:ascii="仿宋" w:hAnsi="仿宋" w:eastAsia="仿宋"/>
          <w:bCs/>
          <w:sz w:val="24"/>
          <w:szCs w:val="28"/>
        </w:rPr>
      </w:pPr>
      <w:r>
        <w:rPr>
          <w:rFonts w:hint="eastAsia" w:ascii="仿宋" w:hAnsi="仿宋" w:eastAsia="仿宋"/>
          <w:bCs/>
          <w:sz w:val="24"/>
          <w:szCs w:val="28"/>
        </w:rPr>
        <w:t>报价供应商名称（公章）：</w:t>
      </w:r>
    </w:p>
    <w:p w14:paraId="6FD3FED2">
      <w:pPr>
        <w:spacing w:line="440" w:lineRule="exact"/>
        <w:rPr>
          <w:rFonts w:hint="eastAsia" w:ascii="仿宋" w:hAnsi="仿宋" w:eastAsia="仿宋"/>
          <w:bCs/>
          <w:sz w:val="24"/>
          <w:szCs w:val="28"/>
        </w:rPr>
      </w:pPr>
      <w:r>
        <w:rPr>
          <w:rFonts w:hint="eastAsia" w:ascii="仿宋" w:hAnsi="仿宋" w:eastAsia="仿宋"/>
          <w:bCs/>
          <w:sz w:val="24"/>
          <w:szCs w:val="28"/>
        </w:rPr>
        <w:t>报价供应商法定代表或其授权人：（签字或盖章）</w:t>
      </w:r>
    </w:p>
    <w:p w14:paraId="32E3A89D">
      <w:pPr>
        <w:spacing w:line="440" w:lineRule="exact"/>
        <w:rPr>
          <w:rFonts w:hint="eastAsia" w:ascii="仿宋" w:hAnsi="仿宋" w:eastAsia="仿宋"/>
          <w:sz w:val="24"/>
          <w:szCs w:val="28"/>
        </w:rPr>
      </w:pPr>
    </w:p>
    <w:p w14:paraId="62C85F48">
      <w:pPr>
        <w:spacing w:line="360" w:lineRule="auto"/>
        <w:rPr>
          <w:rFonts w:hint="eastAsia" w:ascii="仿宋" w:hAnsi="仿宋" w:eastAsia="仿宋"/>
          <w:sz w:val="24"/>
          <w:szCs w:val="28"/>
        </w:rPr>
      </w:pPr>
      <w:r>
        <w:rPr>
          <w:rFonts w:hint="eastAsia" w:ascii="仿宋" w:hAnsi="仿宋" w:eastAsia="仿宋"/>
          <w:sz w:val="24"/>
          <w:szCs w:val="28"/>
        </w:rPr>
        <w:t>日期：</w:t>
      </w:r>
      <w:r>
        <w:rPr>
          <w:rFonts w:ascii="仿宋" w:hAnsi="仿宋" w:eastAsia="仿宋"/>
          <w:sz w:val="24"/>
          <w:szCs w:val="28"/>
        </w:rPr>
        <w:t xml:space="preserve">   </w:t>
      </w:r>
      <w:r>
        <w:rPr>
          <w:rFonts w:hint="eastAsia" w:ascii="仿宋" w:hAnsi="仿宋" w:eastAsia="仿宋"/>
          <w:sz w:val="24"/>
          <w:szCs w:val="28"/>
        </w:rPr>
        <w:t>年</w:t>
      </w:r>
      <w:r>
        <w:rPr>
          <w:rFonts w:ascii="仿宋" w:hAnsi="仿宋" w:eastAsia="仿宋"/>
          <w:sz w:val="24"/>
          <w:szCs w:val="28"/>
        </w:rPr>
        <w:t xml:space="preserve">   </w:t>
      </w:r>
      <w:r>
        <w:rPr>
          <w:rFonts w:hint="eastAsia" w:ascii="仿宋" w:hAnsi="仿宋" w:eastAsia="仿宋"/>
          <w:sz w:val="24"/>
          <w:szCs w:val="28"/>
        </w:rPr>
        <w:t>月</w:t>
      </w:r>
      <w:r>
        <w:rPr>
          <w:rFonts w:ascii="仿宋" w:hAnsi="仿宋" w:eastAsia="仿宋"/>
          <w:sz w:val="24"/>
          <w:szCs w:val="28"/>
        </w:rPr>
        <w:t xml:space="preserve">   </w:t>
      </w:r>
      <w:r>
        <w:rPr>
          <w:rFonts w:hint="eastAsia" w:ascii="仿宋" w:hAnsi="仿宋" w:eastAsia="仿宋"/>
          <w:sz w:val="24"/>
          <w:szCs w:val="28"/>
        </w:rPr>
        <w:t>日</w:t>
      </w:r>
    </w:p>
    <w:p w14:paraId="09DBF59F">
      <w:pPr>
        <w:widowControl/>
        <w:spacing w:line="360" w:lineRule="auto"/>
        <w:jc w:val="left"/>
        <w:rPr>
          <w:rFonts w:ascii="仿宋" w:hAnsi="仿宋" w:eastAsia="仿宋"/>
          <w:sz w:val="24"/>
          <w:szCs w:val="28"/>
        </w:rPr>
      </w:pPr>
    </w:p>
    <w:p w14:paraId="7D87F07A">
      <w:pPr>
        <w:widowControl/>
        <w:spacing w:line="360" w:lineRule="auto"/>
        <w:jc w:val="left"/>
        <w:rPr>
          <w:rFonts w:ascii="仿宋" w:hAnsi="仿宋" w:eastAsia="仿宋"/>
          <w:sz w:val="24"/>
          <w:szCs w:val="28"/>
        </w:rPr>
      </w:pPr>
    </w:p>
    <w:p w14:paraId="12A14677">
      <w:pPr>
        <w:widowControl/>
        <w:spacing w:line="360" w:lineRule="auto"/>
        <w:jc w:val="left"/>
        <w:rPr>
          <w:rFonts w:ascii="仿宋" w:hAnsi="仿宋" w:eastAsia="仿宋"/>
          <w:sz w:val="24"/>
          <w:szCs w:val="28"/>
        </w:rPr>
      </w:pPr>
    </w:p>
    <w:p w14:paraId="6BDF4B57">
      <w:pPr>
        <w:widowControl/>
        <w:spacing w:line="360" w:lineRule="auto"/>
        <w:jc w:val="left"/>
        <w:rPr>
          <w:rFonts w:ascii="仿宋" w:hAnsi="仿宋" w:eastAsia="仿宋"/>
          <w:sz w:val="24"/>
          <w:szCs w:val="28"/>
        </w:rPr>
      </w:pPr>
    </w:p>
    <w:p w14:paraId="52C1DDB5">
      <w:pPr>
        <w:widowControl/>
        <w:spacing w:line="360" w:lineRule="auto"/>
        <w:jc w:val="left"/>
        <w:rPr>
          <w:rFonts w:ascii="仿宋" w:hAnsi="仿宋" w:eastAsia="仿宋"/>
          <w:sz w:val="24"/>
          <w:szCs w:val="28"/>
        </w:rPr>
      </w:pPr>
    </w:p>
    <w:p w14:paraId="65211156">
      <w:pPr>
        <w:widowControl/>
        <w:spacing w:line="360" w:lineRule="auto"/>
        <w:jc w:val="left"/>
        <w:rPr>
          <w:rFonts w:ascii="仿宋" w:hAnsi="仿宋" w:eastAsia="仿宋"/>
          <w:sz w:val="24"/>
          <w:szCs w:val="28"/>
        </w:rPr>
      </w:pPr>
    </w:p>
    <w:p w14:paraId="4905CABE">
      <w:pPr>
        <w:widowControl/>
        <w:spacing w:line="360" w:lineRule="auto"/>
        <w:jc w:val="left"/>
        <w:rPr>
          <w:rFonts w:ascii="仿宋" w:hAnsi="仿宋" w:eastAsia="仿宋"/>
          <w:sz w:val="24"/>
          <w:szCs w:val="28"/>
        </w:rPr>
      </w:pPr>
    </w:p>
    <w:p w14:paraId="6EDBFF01">
      <w:pPr>
        <w:widowControl/>
        <w:spacing w:line="360" w:lineRule="auto"/>
        <w:jc w:val="left"/>
        <w:rPr>
          <w:rFonts w:ascii="仿宋" w:hAnsi="仿宋" w:eastAsia="仿宋"/>
          <w:sz w:val="24"/>
          <w:szCs w:val="28"/>
        </w:rPr>
      </w:pPr>
    </w:p>
    <w:p w14:paraId="172A2CD8">
      <w:pPr>
        <w:widowControl/>
        <w:spacing w:line="360" w:lineRule="auto"/>
        <w:jc w:val="left"/>
        <w:rPr>
          <w:rFonts w:ascii="仿宋" w:hAnsi="仿宋" w:eastAsia="仿宋"/>
          <w:sz w:val="24"/>
          <w:szCs w:val="28"/>
        </w:rPr>
      </w:pPr>
    </w:p>
    <w:p w14:paraId="515B7256">
      <w:pPr>
        <w:widowControl/>
        <w:spacing w:line="360" w:lineRule="auto"/>
        <w:jc w:val="left"/>
        <w:rPr>
          <w:rFonts w:ascii="仿宋" w:hAnsi="仿宋" w:eastAsia="仿宋"/>
          <w:sz w:val="24"/>
          <w:szCs w:val="28"/>
        </w:rPr>
      </w:pPr>
    </w:p>
    <w:p w14:paraId="38067B73">
      <w:pPr>
        <w:widowControl/>
        <w:spacing w:line="360" w:lineRule="auto"/>
        <w:jc w:val="left"/>
        <w:rPr>
          <w:rFonts w:ascii="仿宋" w:hAnsi="仿宋" w:eastAsia="仿宋"/>
          <w:sz w:val="24"/>
          <w:szCs w:val="28"/>
        </w:rPr>
      </w:pPr>
    </w:p>
    <w:p w14:paraId="730801C1">
      <w:pPr>
        <w:widowControl/>
        <w:spacing w:line="360" w:lineRule="auto"/>
        <w:jc w:val="left"/>
        <w:rPr>
          <w:rFonts w:ascii="仿宋" w:hAnsi="仿宋" w:eastAsia="仿宋"/>
          <w:sz w:val="24"/>
          <w:szCs w:val="28"/>
        </w:rPr>
      </w:pPr>
    </w:p>
    <w:p w14:paraId="2A0E496F">
      <w:pPr>
        <w:widowControl/>
        <w:spacing w:line="360" w:lineRule="auto"/>
        <w:jc w:val="left"/>
        <w:rPr>
          <w:rFonts w:ascii="仿宋" w:hAnsi="仿宋" w:eastAsia="仿宋"/>
          <w:sz w:val="24"/>
          <w:szCs w:val="28"/>
        </w:rPr>
      </w:pPr>
    </w:p>
    <w:p w14:paraId="5C6A6425">
      <w:pPr>
        <w:widowControl/>
        <w:spacing w:line="360" w:lineRule="auto"/>
        <w:jc w:val="left"/>
        <w:rPr>
          <w:rFonts w:ascii="仿宋" w:hAnsi="仿宋" w:eastAsia="仿宋"/>
          <w:sz w:val="24"/>
          <w:szCs w:val="28"/>
        </w:rPr>
      </w:pPr>
    </w:p>
    <w:p w14:paraId="65DB5CDD">
      <w:pPr>
        <w:widowControl/>
        <w:spacing w:line="360" w:lineRule="auto"/>
        <w:jc w:val="left"/>
        <w:rPr>
          <w:rFonts w:ascii="仿宋" w:hAnsi="仿宋" w:eastAsia="仿宋"/>
          <w:sz w:val="24"/>
          <w:szCs w:val="28"/>
        </w:rPr>
      </w:pPr>
    </w:p>
    <w:p w14:paraId="61A4444A">
      <w:pPr>
        <w:widowControl/>
        <w:spacing w:line="360" w:lineRule="auto"/>
        <w:jc w:val="left"/>
        <w:rPr>
          <w:rFonts w:ascii="仿宋" w:hAnsi="仿宋" w:eastAsia="仿宋"/>
          <w:sz w:val="24"/>
          <w:szCs w:val="28"/>
        </w:rPr>
      </w:pPr>
    </w:p>
    <w:p w14:paraId="71B3EC32">
      <w:pPr>
        <w:widowControl/>
        <w:spacing w:line="360" w:lineRule="auto"/>
        <w:jc w:val="left"/>
        <w:rPr>
          <w:rFonts w:ascii="仿宋" w:hAnsi="仿宋" w:eastAsia="仿宋"/>
          <w:sz w:val="24"/>
          <w:szCs w:val="28"/>
        </w:rPr>
      </w:pPr>
      <w:r>
        <w:rPr>
          <w:rFonts w:hint="eastAsia" w:ascii="仿宋" w:hAnsi="仿宋" w:eastAsia="仿宋"/>
          <w:sz w:val="24"/>
          <w:szCs w:val="28"/>
        </w:rPr>
        <w:t>附件8</w:t>
      </w:r>
    </w:p>
    <w:p w14:paraId="1E7933C7">
      <w:pPr>
        <w:widowControl/>
        <w:spacing w:line="360" w:lineRule="auto"/>
        <w:jc w:val="left"/>
        <w:rPr>
          <w:rFonts w:hint="eastAsia" w:ascii="仿宋" w:hAnsi="仿宋" w:eastAsia="仿宋"/>
          <w:sz w:val="24"/>
          <w:szCs w:val="28"/>
        </w:rPr>
      </w:pPr>
      <w:r>
        <w:rPr>
          <w:rFonts w:hint="eastAsia" w:ascii="仿宋" w:hAnsi="仿宋" w:eastAsia="仿宋"/>
          <w:sz w:val="24"/>
          <w:szCs w:val="28"/>
        </w:rPr>
        <w:t>比选评标方法</w:t>
      </w:r>
    </w:p>
    <w:p w14:paraId="2AC41C35">
      <w:pPr>
        <w:widowControl/>
        <w:spacing w:line="360" w:lineRule="auto"/>
        <w:jc w:val="left"/>
        <w:rPr>
          <w:rFonts w:hint="eastAsia" w:ascii="仿宋" w:hAnsi="仿宋" w:eastAsia="仿宋"/>
          <w:sz w:val="24"/>
          <w:szCs w:val="28"/>
        </w:rPr>
      </w:pPr>
      <w:r>
        <w:rPr>
          <w:rFonts w:hint="eastAsia" w:ascii="仿宋" w:hAnsi="仿宋" w:eastAsia="仿宋"/>
          <w:sz w:val="24"/>
          <w:szCs w:val="28"/>
        </w:rPr>
        <w:t>根据国家相关法律法规及采购人采购相关规定，结合项目特点，本项目采用“综合评分法”评标，总分为100分。</w:t>
      </w:r>
    </w:p>
    <w:tbl>
      <w:tblPr>
        <w:tblStyle w:val="15"/>
        <w:tblW w:w="8217" w:type="dxa"/>
        <w:tblInd w:w="0" w:type="dxa"/>
        <w:tblLayout w:type="autofit"/>
        <w:tblCellMar>
          <w:top w:w="0" w:type="dxa"/>
          <w:left w:w="108" w:type="dxa"/>
          <w:bottom w:w="0" w:type="dxa"/>
          <w:right w:w="108" w:type="dxa"/>
        </w:tblCellMar>
      </w:tblPr>
      <w:tblGrid>
        <w:gridCol w:w="1327"/>
        <w:gridCol w:w="981"/>
        <w:gridCol w:w="877"/>
        <w:gridCol w:w="5032"/>
      </w:tblGrid>
      <w:tr w14:paraId="149D2F83">
        <w:tblPrEx>
          <w:tblCellMar>
            <w:top w:w="0" w:type="dxa"/>
            <w:left w:w="108" w:type="dxa"/>
            <w:bottom w:w="0" w:type="dxa"/>
            <w:right w:w="108" w:type="dxa"/>
          </w:tblCellMar>
        </w:tblPrEx>
        <w:trPr>
          <w:trHeight w:val="285" w:hRule="atLeast"/>
        </w:trPr>
        <w:tc>
          <w:tcPr>
            <w:tcW w:w="1327" w:type="dxa"/>
            <w:tcBorders>
              <w:top w:val="single" w:color="auto" w:sz="4" w:space="0"/>
              <w:left w:val="single" w:color="auto" w:sz="4" w:space="0"/>
              <w:bottom w:val="single" w:color="auto" w:sz="4" w:space="0"/>
              <w:right w:val="single" w:color="auto" w:sz="4" w:space="0"/>
            </w:tcBorders>
            <w:shd w:val="clear" w:color="auto" w:fill="auto"/>
            <w:vAlign w:val="center"/>
          </w:tcPr>
          <w:p w14:paraId="2F502B52">
            <w:pPr>
              <w:widowControl/>
              <w:spacing w:line="360" w:lineRule="auto"/>
              <w:jc w:val="left"/>
              <w:rPr>
                <w:rFonts w:hint="eastAsia" w:ascii="仿宋" w:hAnsi="仿宋" w:eastAsia="仿宋"/>
                <w:sz w:val="24"/>
                <w:szCs w:val="28"/>
              </w:rPr>
            </w:pPr>
            <w:r>
              <w:rPr>
                <w:rFonts w:hint="eastAsia" w:ascii="仿宋" w:hAnsi="仿宋" w:eastAsia="仿宋"/>
                <w:sz w:val="24"/>
                <w:szCs w:val="28"/>
              </w:rPr>
              <w:t>一级指标</w:t>
            </w:r>
          </w:p>
        </w:tc>
        <w:tc>
          <w:tcPr>
            <w:tcW w:w="981" w:type="dxa"/>
            <w:tcBorders>
              <w:top w:val="single" w:color="auto" w:sz="4" w:space="0"/>
              <w:left w:val="nil"/>
              <w:bottom w:val="single" w:color="auto" w:sz="4" w:space="0"/>
              <w:right w:val="single" w:color="auto" w:sz="4" w:space="0"/>
            </w:tcBorders>
            <w:shd w:val="clear" w:color="auto" w:fill="auto"/>
            <w:vAlign w:val="center"/>
          </w:tcPr>
          <w:p w14:paraId="319ABC43">
            <w:pPr>
              <w:widowControl/>
              <w:spacing w:line="360" w:lineRule="auto"/>
              <w:jc w:val="left"/>
              <w:rPr>
                <w:rFonts w:hint="eastAsia" w:ascii="仿宋" w:hAnsi="仿宋" w:eastAsia="仿宋"/>
                <w:sz w:val="24"/>
                <w:szCs w:val="28"/>
              </w:rPr>
            </w:pPr>
            <w:r>
              <w:rPr>
                <w:rFonts w:hint="eastAsia" w:ascii="仿宋" w:hAnsi="仿宋" w:eastAsia="仿宋"/>
                <w:sz w:val="24"/>
                <w:szCs w:val="28"/>
              </w:rPr>
              <w:t>二级指标</w:t>
            </w:r>
          </w:p>
        </w:tc>
        <w:tc>
          <w:tcPr>
            <w:tcW w:w="877" w:type="dxa"/>
            <w:tcBorders>
              <w:top w:val="single" w:color="auto" w:sz="4" w:space="0"/>
              <w:left w:val="nil"/>
              <w:bottom w:val="single" w:color="auto" w:sz="4" w:space="0"/>
              <w:right w:val="single" w:color="auto" w:sz="4" w:space="0"/>
            </w:tcBorders>
            <w:shd w:val="clear" w:color="auto" w:fill="auto"/>
            <w:vAlign w:val="center"/>
          </w:tcPr>
          <w:p w14:paraId="18351728">
            <w:pPr>
              <w:widowControl/>
              <w:spacing w:line="360" w:lineRule="auto"/>
              <w:jc w:val="left"/>
              <w:rPr>
                <w:rFonts w:hint="eastAsia" w:ascii="仿宋" w:hAnsi="仿宋" w:eastAsia="仿宋"/>
                <w:sz w:val="24"/>
                <w:szCs w:val="28"/>
              </w:rPr>
            </w:pPr>
            <w:r>
              <w:rPr>
                <w:rFonts w:hint="eastAsia" w:ascii="仿宋" w:hAnsi="仿宋" w:eastAsia="仿宋"/>
                <w:sz w:val="24"/>
                <w:szCs w:val="28"/>
              </w:rPr>
              <w:t>分值</w:t>
            </w:r>
          </w:p>
        </w:tc>
        <w:tc>
          <w:tcPr>
            <w:tcW w:w="5032" w:type="dxa"/>
            <w:tcBorders>
              <w:top w:val="single" w:color="auto" w:sz="4" w:space="0"/>
              <w:left w:val="nil"/>
              <w:bottom w:val="single" w:color="auto" w:sz="4" w:space="0"/>
              <w:right w:val="single" w:color="auto" w:sz="4" w:space="0"/>
            </w:tcBorders>
            <w:shd w:val="clear" w:color="auto" w:fill="auto"/>
            <w:vAlign w:val="center"/>
          </w:tcPr>
          <w:p w14:paraId="47C61194">
            <w:pPr>
              <w:widowControl/>
              <w:spacing w:line="360" w:lineRule="auto"/>
              <w:jc w:val="left"/>
              <w:rPr>
                <w:rFonts w:hint="eastAsia" w:ascii="仿宋" w:hAnsi="仿宋" w:eastAsia="仿宋"/>
                <w:sz w:val="24"/>
                <w:szCs w:val="28"/>
              </w:rPr>
            </w:pPr>
            <w:r>
              <w:rPr>
                <w:rFonts w:hint="eastAsia" w:ascii="仿宋" w:hAnsi="仿宋" w:eastAsia="仿宋"/>
                <w:sz w:val="24"/>
                <w:szCs w:val="28"/>
              </w:rPr>
              <w:t>评分细则</w:t>
            </w:r>
          </w:p>
        </w:tc>
      </w:tr>
      <w:tr w14:paraId="34FE20C1">
        <w:tblPrEx>
          <w:tblCellMar>
            <w:top w:w="0" w:type="dxa"/>
            <w:left w:w="108" w:type="dxa"/>
            <w:bottom w:w="0" w:type="dxa"/>
            <w:right w:w="108" w:type="dxa"/>
          </w:tblCellMar>
        </w:tblPrEx>
        <w:trPr>
          <w:trHeight w:val="1650" w:hRule="atLeast"/>
        </w:trPr>
        <w:tc>
          <w:tcPr>
            <w:tcW w:w="1327" w:type="dxa"/>
            <w:tcBorders>
              <w:top w:val="nil"/>
              <w:left w:val="single" w:color="auto" w:sz="4" w:space="0"/>
              <w:bottom w:val="single" w:color="auto" w:sz="4" w:space="0"/>
              <w:right w:val="single" w:color="auto" w:sz="4" w:space="0"/>
            </w:tcBorders>
            <w:shd w:val="clear" w:color="auto" w:fill="auto"/>
            <w:vAlign w:val="center"/>
          </w:tcPr>
          <w:p w14:paraId="6D3478C6">
            <w:pPr>
              <w:widowControl/>
              <w:spacing w:line="360" w:lineRule="auto"/>
              <w:jc w:val="left"/>
              <w:rPr>
                <w:rFonts w:hint="eastAsia" w:ascii="仿宋" w:hAnsi="仿宋" w:eastAsia="仿宋"/>
                <w:sz w:val="24"/>
                <w:szCs w:val="28"/>
              </w:rPr>
            </w:pPr>
            <w:r>
              <w:rPr>
                <w:rFonts w:hint="eastAsia" w:ascii="仿宋" w:hAnsi="仿宋" w:eastAsia="仿宋"/>
                <w:sz w:val="24"/>
                <w:szCs w:val="28"/>
              </w:rPr>
              <w:t>一、价格部分（20分）​</w:t>
            </w:r>
          </w:p>
        </w:tc>
        <w:tc>
          <w:tcPr>
            <w:tcW w:w="981" w:type="dxa"/>
            <w:tcBorders>
              <w:top w:val="nil"/>
              <w:left w:val="nil"/>
              <w:bottom w:val="single" w:color="auto" w:sz="4" w:space="0"/>
              <w:right w:val="single" w:color="auto" w:sz="4" w:space="0"/>
            </w:tcBorders>
            <w:shd w:val="clear" w:color="auto" w:fill="auto"/>
            <w:vAlign w:val="center"/>
          </w:tcPr>
          <w:p w14:paraId="110A2903">
            <w:pPr>
              <w:widowControl/>
              <w:spacing w:line="360" w:lineRule="auto"/>
              <w:jc w:val="left"/>
              <w:rPr>
                <w:rFonts w:hint="eastAsia" w:ascii="仿宋" w:hAnsi="仿宋" w:eastAsia="仿宋"/>
                <w:sz w:val="24"/>
                <w:szCs w:val="28"/>
              </w:rPr>
            </w:pPr>
            <w:r>
              <w:rPr>
                <w:rFonts w:hint="eastAsia" w:ascii="仿宋" w:hAnsi="仿宋" w:eastAsia="仿宋"/>
                <w:sz w:val="24"/>
                <w:szCs w:val="28"/>
              </w:rPr>
              <w:t>投标报价</w:t>
            </w:r>
          </w:p>
        </w:tc>
        <w:tc>
          <w:tcPr>
            <w:tcW w:w="877" w:type="dxa"/>
            <w:tcBorders>
              <w:top w:val="nil"/>
              <w:left w:val="nil"/>
              <w:bottom w:val="single" w:color="auto" w:sz="4" w:space="0"/>
              <w:right w:val="single" w:color="auto" w:sz="4" w:space="0"/>
            </w:tcBorders>
            <w:shd w:val="clear" w:color="auto" w:fill="auto"/>
            <w:vAlign w:val="center"/>
          </w:tcPr>
          <w:p w14:paraId="4DD40CEA">
            <w:pPr>
              <w:widowControl/>
              <w:spacing w:line="360" w:lineRule="auto"/>
              <w:jc w:val="left"/>
              <w:rPr>
                <w:rFonts w:hint="eastAsia" w:ascii="仿宋" w:hAnsi="仿宋" w:eastAsia="仿宋"/>
                <w:sz w:val="24"/>
                <w:szCs w:val="28"/>
              </w:rPr>
            </w:pPr>
            <w:r>
              <w:rPr>
                <w:rFonts w:hint="eastAsia" w:ascii="仿宋" w:hAnsi="仿宋" w:eastAsia="仿宋"/>
                <w:sz w:val="24"/>
                <w:szCs w:val="28"/>
              </w:rPr>
              <w:t>20</w:t>
            </w:r>
          </w:p>
        </w:tc>
        <w:tc>
          <w:tcPr>
            <w:tcW w:w="5032" w:type="dxa"/>
            <w:tcBorders>
              <w:top w:val="nil"/>
              <w:left w:val="nil"/>
              <w:bottom w:val="single" w:color="auto" w:sz="4" w:space="0"/>
              <w:right w:val="single" w:color="auto" w:sz="4" w:space="0"/>
            </w:tcBorders>
            <w:shd w:val="clear" w:color="auto" w:fill="auto"/>
            <w:vAlign w:val="center"/>
          </w:tcPr>
          <w:p w14:paraId="5B004905">
            <w:pPr>
              <w:widowControl/>
              <w:spacing w:line="360" w:lineRule="auto"/>
              <w:jc w:val="left"/>
              <w:rPr>
                <w:rFonts w:hint="eastAsia" w:ascii="仿宋" w:hAnsi="仿宋" w:eastAsia="仿宋"/>
                <w:sz w:val="24"/>
                <w:szCs w:val="28"/>
              </w:rPr>
            </w:pPr>
            <w:r>
              <w:rPr>
                <w:rFonts w:hint="eastAsia" w:ascii="仿宋" w:hAnsi="仿宋" w:eastAsia="仿宋"/>
                <w:sz w:val="24"/>
                <w:szCs w:val="28"/>
              </w:rPr>
              <w:t>采用低价优先法计算，即满足采购文件要求的最低投标报价为评标基准价，其价格分为满分20分。其他供应商的价格分统一按公式计算：</w:t>
            </w:r>
            <w:r>
              <w:rPr>
                <w:rFonts w:hint="eastAsia" w:ascii="仿宋" w:hAnsi="仿宋" w:eastAsia="仿宋"/>
                <w:sz w:val="24"/>
                <w:szCs w:val="28"/>
              </w:rPr>
              <w:br w:type="textWrapping"/>
            </w:r>
            <w:r>
              <w:rPr>
                <w:rFonts w:hint="eastAsia" w:ascii="仿宋" w:hAnsi="仿宋" w:eastAsia="仿宋"/>
                <w:sz w:val="24"/>
                <w:szCs w:val="28"/>
              </w:rPr>
              <w:t>报价得分=(评标基准价/投标报价)×20</w:t>
            </w:r>
            <w:r>
              <w:rPr>
                <w:rFonts w:hint="eastAsia" w:ascii="仿宋" w:hAnsi="仿宋" w:eastAsia="仿宋"/>
                <w:sz w:val="24"/>
                <w:szCs w:val="28"/>
              </w:rPr>
              <w:br w:type="textWrapping"/>
            </w:r>
            <w:r>
              <w:rPr>
                <w:rFonts w:hint="eastAsia" w:ascii="仿宋" w:hAnsi="仿宋" w:eastAsia="仿宋"/>
                <w:sz w:val="24"/>
                <w:szCs w:val="28"/>
              </w:rPr>
              <w:t>（注：报价超过预算5.2万元为无效标）</w:t>
            </w:r>
          </w:p>
        </w:tc>
      </w:tr>
      <w:tr w14:paraId="748107EA">
        <w:tblPrEx>
          <w:tblCellMar>
            <w:top w:w="0" w:type="dxa"/>
            <w:left w:w="108" w:type="dxa"/>
            <w:bottom w:w="0" w:type="dxa"/>
            <w:right w:w="108" w:type="dxa"/>
          </w:tblCellMar>
        </w:tblPrEx>
        <w:trPr>
          <w:trHeight w:val="2115" w:hRule="atLeast"/>
        </w:trPr>
        <w:tc>
          <w:tcPr>
            <w:tcW w:w="1327" w:type="dxa"/>
            <w:vMerge w:val="restart"/>
            <w:tcBorders>
              <w:top w:val="nil"/>
              <w:left w:val="single" w:color="auto" w:sz="4" w:space="0"/>
              <w:bottom w:val="single" w:color="000000" w:sz="4" w:space="0"/>
              <w:right w:val="single" w:color="auto" w:sz="4" w:space="0"/>
            </w:tcBorders>
            <w:shd w:val="clear" w:color="auto" w:fill="auto"/>
            <w:vAlign w:val="center"/>
          </w:tcPr>
          <w:p w14:paraId="143B6116">
            <w:pPr>
              <w:widowControl/>
              <w:spacing w:line="360" w:lineRule="auto"/>
              <w:jc w:val="left"/>
              <w:rPr>
                <w:rFonts w:hint="eastAsia" w:ascii="仿宋" w:hAnsi="仿宋" w:eastAsia="仿宋"/>
                <w:sz w:val="24"/>
                <w:szCs w:val="28"/>
              </w:rPr>
            </w:pPr>
            <w:r>
              <w:rPr>
                <w:rFonts w:hint="eastAsia" w:ascii="仿宋" w:hAnsi="仿宋" w:eastAsia="仿宋"/>
                <w:sz w:val="24"/>
                <w:szCs w:val="28"/>
              </w:rPr>
              <w:t>二、技术部分（40分）​</w:t>
            </w:r>
          </w:p>
        </w:tc>
        <w:tc>
          <w:tcPr>
            <w:tcW w:w="981" w:type="dxa"/>
            <w:tcBorders>
              <w:top w:val="nil"/>
              <w:left w:val="nil"/>
              <w:bottom w:val="single" w:color="auto" w:sz="4" w:space="0"/>
              <w:right w:val="single" w:color="auto" w:sz="4" w:space="0"/>
            </w:tcBorders>
            <w:shd w:val="clear" w:color="auto" w:fill="auto"/>
            <w:vAlign w:val="center"/>
          </w:tcPr>
          <w:p w14:paraId="45083BB8">
            <w:pPr>
              <w:widowControl/>
              <w:spacing w:line="360" w:lineRule="auto"/>
              <w:jc w:val="left"/>
              <w:rPr>
                <w:rFonts w:hint="eastAsia" w:ascii="仿宋" w:hAnsi="仿宋" w:eastAsia="仿宋"/>
                <w:sz w:val="24"/>
                <w:szCs w:val="28"/>
              </w:rPr>
            </w:pPr>
            <w:r>
              <w:rPr>
                <w:rFonts w:hint="eastAsia" w:ascii="仿宋" w:hAnsi="仿宋" w:eastAsia="仿宋"/>
                <w:sz w:val="24"/>
                <w:szCs w:val="28"/>
              </w:rPr>
              <w:t>1. 设备技术参数响应</w:t>
            </w:r>
          </w:p>
        </w:tc>
        <w:tc>
          <w:tcPr>
            <w:tcW w:w="877" w:type="dxa"/>
            <w:tcBorders>
              <w:top w:val="nil"/>
              <w:left w:val="nil"/>
              <w:bottom w:val="single" w:color="auto" w:sz="4" w:space="0"/>
              <w:right w:val="single" w:color="auto" w:sz="4" w:space="0"/>
            </w:tcBorders>
            <w:shd w:val="clear" w:color="auto" w:fill="auto"/>
            <w:vAlign w:val="center"/>
          </w:tcPr>
          <w:p w14:paraId="67E7DA8F">
            <w:pPr>
              <w:widowControl/>
              <w:spacing w:line="360" w:lineRule="auto"/>
              <w:jc w:val="left"/>
              <w:rPr>
                <w:rFonts w:hint="eastAsia" w:ascii="仿宋" w:hAnsi="仿宋" w:eastAsia="仿宋"/>
                <w:sz w:val="24"/>
                <w:szCs w:val="28"/>
              </w:rPr>
            </w:pPr>
            <w:r>
              <w:rPr>
                <w:rFonts w:hint="eastAsia" w:ascii="仿宋" w:hAnsi="仿宋" w:eastAsia="仿宋"/>
                <w:sz w:val="24"/>
                <w:szCs w:val="28"/>
              </w:rPr>
              <w:t>15</w:t>
            </w:r>
          </w:p>
        </w:tc>
        <w:tc>
          <w:tcPr>
            <w:tcW w:w="5032" w:type="dxa"/>
            <w:tcBorders>
              <w:top w:val="nil"/>
              <w:left w:val="nil"/>
              <w:bottom w:val="single" w:color="auto" w:sz="4" w:space="0"/>
              <w:right w:val="single" w:color="auto" w:sz="4" w:space="0"/>
            </w:tcBorders>
            <w:shd w:val="clear" w:color="auto" w:fill="auto"/>
            <w:vAlign w:val="center"/>
          </w:tcPr>
          <w:p w14:paraId="44B87C30">
            <w:pPr>
              <w:widowControl/>
              <w:spacing w:line="360" w:lineRule="auto"/>
              <w:jc w:val="left"/>
              <w:rPr>
                <w:rFonts w:hint="eastAsia" w:ascii="仿宋" w:hAnsi="仿宋" w:eastAsia="仿宋"/>
                <w:sz w:val="24"/>
                <w:szCs w:val="28"/>
              </w:rPr>
            </w:pPr>
            <w:r>
              <w:rPr>
                <w:rFonts w:hint="eastAsia" w:ascii="仿宋" w:hAnsi="仿宋" w:eastAsia="仿宋"/>
                <w:sz w:val="24"/>
                <w:szCs w:val="28"/>
              </w:rPr>
              <w:t>完全满足采购清单中所有技术参数要求的得满分；</w:t>
            </w:r>
            <w:r>
              <w:rPr>
                <w:rFonts w:hint="eastAsia" w:ascii="仿宋" w:hAnsi="仿宋" w:eastAsia="仿宋"/>
                <w:sz w:val="24"/>
                <w:szCs w:val="28"/>
              </w:rPr>
              <w:br w:type="textWrapping"/>
            </w:r>
            <w:r>
              <w:rPr>
                <w:rFonts w:hint="eastAsia" w:ascii="仿宋" w:hAnsi="仿宋" w:eastAsia="仿宋"/>
                <w:sz w:val="24"/>
                <w:szCs w:val="28"/>
              </w:rPr>
              <w:t>① 一般参数每有一项负偏离扣1分；</w:t>
            </w:r>
            <w:r>
              <w:rPr>
                <w:rFonts w:hint="eastAsia" w:ascii="仿宋" w:hAnsi="仿宋" w:eastAsia="仿宋"/>
                <w:sz w:val="24"/>
                <w:szCs w:val="28"/>
              </w:rPr>
              <w:br w:type="textWrapping"/>
            </w:r>
            <w:r>
              <w:rPr>
                <w:rFonts w:hint="eastAsia" w:ascii="仿宋" w:hAnsi="仿宋" w:eastAsia="仿宋"/>
                <w:sz w:val="24"/>
                <w:szCs w:val="28"/>
              </w:rPr>
              <w:t>② 关键参数（如通信协议、数据对接标准、精度等级、续航时间等）每有一项负偏离扣3分，扣完为止；</w:t>
            </w:r>
          </w:p>
        </w:tc>
      </w:tr>
      <w:tr w14:paraId="68A1621E">
        <w:tblPrEx>
          <w:tblCellMar>
            <w:top w:w="0" w:type="dxa"/>
            <w:left w:w="108" w:type="dxa"/>
            <w:bottom w:w="0" w:type="dxa"/>
            <w:right w:w="108" w:type="dxa"/>
          </w:tblCellMar>
        </w:tblPrEx>
        <w:trPr>
          <w:trHeight w:val="3000" w:hRule="atLeast"/>
        </w:trPr>
        <w:tc>
          <w:tcPr>
            <w:tcW w:w="1327" w:type="dxa"/>
            <w:vMerge w:val="continue"/>
            <w:tcBorders>
              <w:top w:val="nil"/>
              <w:left w:val="single" w:color="auto" w:sz="4" w:space="0"/>
              <w:bottom w:val="single" w:color="000000" w:sz="4" w:space="0"/>
              <w:right w:val="single" w:color="auto" w:sz="4" w:space="0"/>
            </w:tcBorders>
            <w:vAlign w:val="center"/>
          </w:tcPr>
          <w:p w14:paraId="15198AFB">
            <w:pPr>
              <w:widowControl/>
              <w:spacing w:line="360" w:lineRule="auto"/>
              <w:jc w:val="left"/>
              <w:rPr>
                <w:rFonts w:hint="eastAsia" w:ascii="仿宋" w:hAnsi="仿宋" w:eastAsia="仿宋"/>
                <w:sz w:val="24"/>
                <w:szCs w:val="28"/>
              </w:rPr>
            </w:pPr>
          </w:p>
        </w:tc>
        <w:tc>
          <w:tcPr>
            <w:tcW w:w="981" w:type="dxa"/>
            <w:tcBorders>
              <w:top w:val="nil"/>
              <w:left w:val="nil"/>
              <w:bottom w:val="single" w:color="auto" w:sz="4" w:space="0"/>
              <w:right w:val="single" w:color="auto" w:sz="4" w:space="0"/>
            </w:tcBorders>
            <w:shd w:val="clear" w:color="auto" w:fill="auto"/>
            <w:vAlign w:val="center"/>
          </w:tcPr>
          <w:p w14:paraId="0FF5731D">
            <w:pPr>
              <w:widowControl/>
              <w:spacing w:line="360" w:lineRule="auto"/>
              <w:jc w:val="left"/>
              <w:rPr>
                <w:rFonts w:hint="eastAsia" w:ascii="仿宋" w:hAnsi="仿宋" w:eastAsia="仿宋"/>
                <w:sz w:val="24"/>
                <w:szCs w:val="28"/>
              </w:rPr>
            </w:pPr>
            <w:r>
              <w:rPr>
                <w:rFonts w:hint="eastAsia" w:ascii="仿宋" w:hAnsi="仿宋" w:eastAsia="仿宋"/>
                <w:sz w:val="24"/>
                <w:szCs w:val="28"/>
              </w:rPr>
              <w:t>2. 系统兼容性与数据对接方案</w:t>
            </w:r>
          </w:p>
        </w:tc>
        <w:tc>
          <w:tcPr>
            <w:tcW w:w="877" w:type="dxa"/>
            <w:tcBorders>
              <w:top w:val="nil"/>
              <w:left w:val="nil"/>
              <w:bottom w:val="single" w:color="auto" w:sz="4" w:space="0"/>
              <w:right w:val="single" w:color="auto" w:sz="4" w:space="0"/>
            </w:tcBorders>
            <w:shd w:val="clear" w:color="auto" w:fill="auto"/>
            <w:vAlign w:val="center"/>
          </w:tcPr>
          <w:p w14:paraId="564DCE4A">
            <w:pPr>
              <w:widowControl/>
              <w:spacing w:line="360" w:lineRule="auto"/>
              <w:jc w:val="left"/>
              <w:rPr>
                <w:rFonts w:hint="eastAsia" w:ascii="仿宋" w:hAnsi="仿宋" w:eastAsia="仿宋"/>
                <w:sz w:val="24"/>
                <w:szCs w:val="28"/>
              </w:rPr>
            </w:pPr>
            <w:r>
              <w:rPr>
                <w:rFonts w:hint="eastAsia" w:ascii="仿宋" w:hAnsi="仿宋" w:eastAsia="仿宋"/>
                <w:sz w:val="24"/>
                <w:szCs w:val="28"/>
              </w:rPr>
              <w:t>15</w:t>
            </w:r>
          </w:p>
        </w:tc>
        <w:tc>
          <w:tcPr>
            <w:tcW w:w="5032" w:type="dxa"/>
            <w:tcBorders>
              <w:top w:val="nil"/>
              <w:left w:val="nil"/>
              <w:bottom w:val="single" w:color="auto" w:sz="4" w:space="0"/>
              <w:right w:val="single" w:color="auto" w:sz="4" w:space="0"/>
            </w:tcBorders>
            <w:shd w:val="clear" w:color="auto" w:fill="auto"/>
            <w:vAlign w:val="center"/>
          </w:tcPr>
          <w:p w14:paraId="2521ABE5">
            <w:pPr>
              <w:widowControl/>
              <w:spacing w:line="360" w:lineRule="auto"/>
              <w:jc w:val="left"/>
              <w:rPr>
                <w:rFonts w:hint="eastAsia" w:ascii="仿宋" w:hAnsi="仿宋" w:eastAsia="仿宋"/>
                <w:sz w:val="24"/>
                <w:szCs w:val="28"/>
              </w:rPr>
            </w:pPr>
            <w:r>
              <w:rPr>
                <w:rFonts w:hint="eastAsia" w:ascii="仿宋" w:hAnsi="仿宋" w:eastAsia="仿宋"/>
                <w:sz w:val="24"/>
                <w:szCs w:val="28"/>
              </w:rPr>
              <w:t>① 明确说明设备支持接入上海市“一网统管”消防安全风险防控体系，且数据传输协议完全符合《消防设施物联网系统运行平台数据传输导则》DB31/T 1465-2024</w:t>
            </w:r>
            <w:r>
              <w:rPr>
                <w:rFonts w:hint="eastAsia" w:ascii="仿宋" w:hAnsi="仿宋" w:eastAsia="仿宋"/>
                <w:sz w:val="24"/>
                <w:szCs w:val="28"/>
                <w:lang w:eastAsia="zh-CN"/>
              </w:rPr>
              <w:t>、</w:t>
            </w:r>
            <w:r>
              <w:rPr>
                <w:rFonts w:hint="eastAsia" w:ascii="仿宋" w:hAnsi="仿宋" w:eastAsia="仿宋"/>
                <w:sz w:val="24"/>
                <w:szCs w:val="28"/>
              </w:rPr>
              <w:t>《消防物联网数据对接平台API对接文档V3.1》规范的得6分；仅提及但未提供具体对接逻辑的扣2分，未提及不得分；</w:t>
            </w:r>
            <w:r>
              <w:rPr>
                <w:rFonts w:hint="eastAsia" w:ascii="仿宋" w:hAnsi="仿宋" w:eastAsia="仿宋"/>
                <w:sz w:val="24"/>
                <w:szCs w:val="28"/>
              </w:rPr>
              <w:br w:type="textWrapping"/>
            </w:r>
            <w:r>
              <w:rPr>
                <w:rFonts w:hint="eastAsia" w:ascii="仿宋" w:hAnsi="仿宋" w:eastAsia="仿宋"/>
                <w:sz w:val="24"/>
                <w:szCs w:val="28"/>
              </w:rPr>
              <w:t>② 提供详细的与学校现有消防管理平台及市消防救援局物联网平台对接方案（含接口开发、数据字段映射、联调测试流程等），方案完整可行的得6分；方案笼统的扣2分，未提供不得分；</w:t>
            </w:r>
            <w:r>
              <w:rPr>
                <w:rFonts w:hint="eastAsia" w:ascii="仿宋" w:hAnsi="仿宋" w:eastAsia="仿宋"/>
                <w:sz w:val="24"/>
                <w:szCs w:val="28"/>
              </w:rPr>
              <w:br w:type="textWrapping"/>
            </w:r>
            <w:r>
              <w:rPr>
                <w:rFonts w:hint="eastAsia" w:ascii="仿宋" w:hAnsi="仿宋" w:eastAsia="仿宋"/>
                <w:sz w:val="24"/>
                <w:szCs w:val="28"/>
              </w:rPr>
              <w:t>③ 针对数据传输稳定性（如断点续传、丢包重发机制）有明确技术保障措施的得3分，否则不得分。</w:t>
            </w:r>
          </w:p>
        </w:tc>
      </w:tr>
      <w:tr w14:paraId="6A9EC97C">
        <w:tblPrEx>
          <w:tblCellMar>
            <w:top w:w="0" w:type="dxa"/>
            <w:left w:w="108" w:type="dxa"/>
            <w:bottom w:w="0" w:type="dxa"/>
            <w:right w:w="108" w:type="dxa"/>
          </w:tblCellMar>
        </w:tblPrEx>
        <w:trPr>
          <w:trHeight w:val="2280" w:hRule="atLeast"/>
        </w:trPr>
        <w:tc>
          <w:tcPr>
            <w:tcW w:w="1327" w:type="dxa"/>
            <w:vMerge w:val="continue"/>
            <w:tcBorders>
              <w:top w:val="nil"/>
              <w:left w:val="single" w:color="auto" w:sz="4" w:space="0"/>
              <w:bottom w:val="single" w:color="000000" w:sz="4" w:space="0"/>
              <w:right w:val="single" w:color="auto" w:sz="4" w:space="0"/>
            </w:tcBorders>
            <w:vAlign w:val="center"/>
          </w:tcPr>
          <w:p w14:paraId="123DF5E4">
            <w:pPr>
              <w:widowControl/>
              <w:spacing w:line="360" w:lineRule="auto"/>
              <w:jc w:val="left"/>
              <w:rPr>
                <w:rFonts w:hint="eastAsia" w:ascii="仿宋" w:hAnsi="仿宋" w:eastAsia="仿宋"/>
                <w:sz w:val="24"/>
                <w:szCs w:val="28"/>
              </w:rPr>
            </w:pPr>
          </w:p>
        </w:tc>
        <w:tc>
          <w:tcPr>
            <w:tcW w:w="981" w:type="dxa"/>
            <w:tcBorders>
              <w:top w:val="nil"/>
              <w:left w:val="nil"/>
              <w:bottom w:val="single" w:color="auto" w:sz="4" w:space="0"/>
              <w:right w:val="single" w:color="auto" w:sz="4" w:space="0"/>
            </w:tcBorders>
            <w:shd w:val="clear" w:color="auto" w:fill="auto"/>
            <w:vAlign w:val="center"/>
          </w:tcPr>
          <w:p w14:paraId="6E0EDFE7">
            <w:pPr>
              <w:widowControl/>
              <w:spacing w:line="360" w:lineRule="auto"/>
              <w:jc w:val="left"/>
              <w:rPr>
                <w:rFonts w:hint="eastAsia" w:ascii="仿宋" w:hAnsi="仿宋" w:eastAsia="仿宋"/>
                <w:sz w:val="24"/>
                <w:szCs w:val="28"/>
              </w:rPr>
            </w:pPr>
            <w:r>
              <w:rPr>
                <w:rFonts w:hint="eastAsia" w:ascii="仿宋" w:hAnsi="仿宋" w:eastAsia="仿宋"/>
                <w:sz w:val="24"/>
                <w:szCs w:val="28"/>
              </w:rPr>
              <w:t>3. 安装调试与实施方案</w:t>
            </w:r>
          </w:p>
        </w:tc>
        <w:tc>
          <w:tcPr>
            <w:tcW w:w="877" w:type="dxa"/>
            <w:tcBorders>
              <w:top w:val="nil"/>
              <w:left w:val="nil"/>
              <w:bottom w:val="single" w:color="auto" w:sz="4" w:space="0"/>
              <w:right w:val="single" w:color="auto" w:sz="4" w:space="0"/>
            </w:tcBorders>
            <w:shd w:val="clear" w:color="auto" w:fill="auto"/>
            <w:vAlign w:val="center"/>
          </w:tcPr>
          <w:p w14:paraId="4BB083F9">
            <w:pPr>
              <w:widowControl/>
              <w:spacing w:line="360" w:lineRule="auto"/>
              <w:jc w:val="left"/>
              <w:rPr>
                <w:rFonts w:hint="eastAsia" w:ascii="仿宋" w:hAnsi="仿宋" w:eastAsia="仿宋"/>
                <w:sz w:val="24"/>
                <w:szCs w:val="28"/>
              </w:rPr>
            </w:pPr>
            <w:r>
              <w:rPr>
                <w:rFonts w:hint="eastAsia" w:ascii="仿宋" w:hAnsi="仿宋" w:eastAsia="仿宋"/>
                <w:sz w:val="24"/>
                <w:szCs w:val="28"/>
              </w:rPr>
              <w:t>15</w:t>
            </w:r>
          </w:p>
        </w:tc>
        <w:tc>
          <w:tcPr>
            <w:tcW w:w="5032" w:type="dxa"/>
            <w:tcBorders>
              <w:top w:val="nil"/>
              <w:left w:val="nil"/>
              <w:bottom w:val="single" w:color="auto" w:sz="4" w:space="0"/>
              <w:right w:val="single" w:color="auto" w:sz="4" w:space="0"/>
            </w:tcBorders>
            <w:shd w:val="clear" w:color="auto" w:fill="auto"/>
            <w:vAlign w:val="center"/>
          </w:tcPr>
          <w:p w14:paraId="4DC3C664">
            <w:pPr>
              <w:widowControl/>
              <w:spacing w:line="360" w:lineRule="auto"/>
              <w:jc w:val="left"/>
              <w:rPr>
                <w:rFonts w:hint="eastAsia" w:ascii="仿宋" w:hAnsi="仿宋" w:eastAsia="仿宋"/>
                <w:sz w:val="24"/>
                <w:szCs w:val="28"/>
                <w:lang w:eastAsia="zh-CN"/>
              </w:rPr>
            </w:pPr>
            <w:r>
              <w:rPr>
                <w:rFonts w:hint="eastAsia" w:ascii="仿宋" w:hAnsi="仿宋" w:eastAsia="仿宋"/>
                <w:sz w:val="24"/>
                <w:szCs w:val="28"/>
              </w:rPr>
              <w:t>① 包含现场勘察、设备定位、信号线敷设（符合消防施工规范）、防水防潮处理等全流程实施计划的得</w:t>
            </w:r>
            <w:r>
              <w:rPr>
                <w:rFonts w:hint="eastAsia" w:ascii="仿宋" w:hAnsi="仿宋" w:eastAsia="仿宋"/>
                <w:sz w:val="24"/>
                <w:szCs w:val="28"/>
                <w:lang w:val="en-US" w:eastAsia="zh-CN"/>
              </w:rPr>
              <w:t>4</w:t>
            </w:r>
            <w:r>
              <w:rPr>
                <w:rFonts w:hint="eastAsia" w:ascii="仿宋" w:hAnsi="仿宋" w:eastAsia="仿宋"/>
                <w:sz w:val="24"/>
                <w:szCs w:val="28"/>
              </w:rPr>
              <w:t>分</w:t>
            </w:r>
            <w:r>
              <w:rPr>
                <w:rFonts w:hint="eastAsia" w:ascii="仿宋" w:hAnsi="仿宋" w:eastAsia="仿宋"/>
                <w:sz w:val="24"/>
                <w:szCs w:val="28"/>
                <w:lang w:eastAsia="zh-CN"/>
              </w:rPr>
              <w:t>，</w:t>
            </w:r>
            <w:r>
              <w:rPr>
                <w:rFonts w:hint="eastAsia" w:ascii="仿宋" w:hAnsi="仿宋" w:eastAsia="仿宋"/>
                <w:sz w:val="24"/>
                <w:szCs w:val="28"/>
                <w:lang w:val="en-US" w:eastAsia="zh-CN"/>
              </w:rPr>
              <w:t>缺一项扣1分</w:t>
            </w:r>
            <w:r>
              <w:rPr>
                <w:rFonts w:hint="eastAsia" w:ascii="仿宋" w:hAnsi="仿宋" w:eastAsia="仿宋"/>
                <w:sz w:val="24"/>
                <w:szCs w:val="28"/>
              </w:rPr>
              <w:t>；</w:t>
            </w:r>
            <w:r>
              <w:rPr>
                <w:rFonts w:hint="eastAsia" w:ascii="仿宋" w:hAnsi="仿宋" w:eastAsia="仿宋"/>
                <w:sz w:val="24"/>
                <w:szCs w:val="28"/>
              </w:rPr>
              <w:br w:type="textWrapping"/>
            </w:r>
            <w:r>
              <w:rPr>
                <w:rFonts w:hint="eastAsia" w:ascii="仿宋" w:hAnsi="仿宋" w:eastAsia="仿宋"/>
                <w:sz w:val="24"/>
                <w:szCs w:val="28"/>
              </w:rPr>
              <w:t>② 明确施工周期节点（如到货、安装、单机调试、系统联调各阶段时间），且与“合同签订后30日历天完成”要求匹配的得5分</w:t>
            </w:r>
            <w:r>
              <w:rPr>
                <w:rFonts w:hint="eastAsia" w:ascii="仿宋" w:hAnsi="仿宋" w:eastAsia="仿宋"/>
                <w:sz w:val="24"/>
                <w:szCs w:val="28"/>
                <w:lang w:eastAsia="zh-CN"/>
              </w:rPr>
              <w:t>，</w:t>
            </w:r>
            <w:r>
              <w:rPr>
                <w:rFonts w:hint="eastAsia" w:ascii="仿宋" w:hAnsi="仿宋" w:eastAsia="仿宋"/>
                <w:sz w:val="24"/>
                <w:szCs w:val="28"/>
                <w:lang w:val="en-US" w:eastAsia="zh-CN"/>
              </w:rPr>
              <w:t>缺一项扣1分</w:t>
            </w:r>
            <w:r>
              <w:rPr>
                <w:rFonts w:hint="eastAsia" w:ascii="仿宋" w:hAnsi="仿宋" w:eastAsia="仿宋"/>
                <w:sz w:val="24"/>
                <w:szCs w:val="28"/>
              </w:rPr>
              <w:t>；</w:t>
            </w:r>
            <w:r>
              <w:rPr>
                <w:rFonts w:hint="eastAsia" w:ascii="仿宋" w:hAnsi="仿宋" w:eastAsia="仿宋"/>
                <w:sz w:val="24"/>
                <w:szCs w:val="28"/>
              </w:rPr>
              <w:br w:type="textWrapping"/>
            </w:r>
            <w:r>
              <w:rPr>
                <w:rFonts w:hint="eastAsia" w:ascii="仿宋" w:hAnsi="仿宋" w:eastAsia="仿宋"/>
                <w:sz w:val="24"/>
                <w:szCs w:val="28"/>
              </w:rPr>
              <w:t>③ 针对原有消防水系统保护（如不停水施工措施、应急保障方案）有专项说明的得</w:t>
            </w:r>
            <w:r>
              <w:rPr>
                <w:rFonts w:hint="eastAsia" w:ascii="仿宋" w:hAnsi="仿宋" w:eastAsia="仿宋"/>
                <w:sz w:val="24"/>
                <w:szCs w:val="28"/>
                <w:lang w:val="en-US" w:eastAsia="zh-CN"/>
              </w:rPr>
              <w:t>6</w:t>
            </w:r>
            <w:r>
              <w:rPr>
                <w:rFonts w:hint="eastAsia" w:ascii="仿宋" w:hAnsi="仿宋" w:eastAsia="仿宋"/>
                <w:sz w:val="24"/>
                <w:szCs w:val="28"/>
              </w:rPr>
              <w:t>分；方案不完善扣2分，未提供不得分</w:t>
            </w:r>
            <w:r>
              <w:rPr>
                <w:rFonts w:hint="eastAsia" w:ascii="仿宋" w:hAnsi="仿宋" w:eastAsia="仿宋"/>
                <w:sz w:val="24"/>
                <w:szCs w:val="28"/>
                <w:lang w:eastAsia="zh-CN"/>
              </w:rPr>
              <w:t>；</w:t>
            </w:r>
          </w:p>
        </w:tc>
      </w:tr>
      <w:tr w14:paraId="7EFDB32B">
        <w:tblPrEx>
          <w:tblCellMar>
            <w:top w:w="0" w:type="dxa"/>
            <w:left w:w="108" w:type="dxa"/>
            <w:bottom w:w="0" w:type="dxa"/>
            <w:right w:w="108" w:type="dxa"/>
          </w:tblCellMar>
        </w:tblPrEx>
        <w:trPr>
          <w:trHeight w:val="1140" w:hRule="atLeast"/>
        </w:trPr>
        <w:tc>
          <w:tcPr>
            <w:tcW w:w="1327" w:type="dxa"/>
            <w:vMerge w:val="continue"/>
            <w:tcBorders>
              <w:top w:val="nil"/>
              <w:left w:val="single" w:color="auto" w:sz="4" w:space="0"/>
              <w:bottom w:val="single" w:color="000000" w:sz="4" w:space="0"/>
              <w:right w:val="single" w:color="auto" w:sz="4" w:space="0"/>
            </w:tcBorders>
            <w:vAlign w:val="center"/>
          </w:tcPr>
          <w:p w14:paraId="68A48E1C">
            <w:pPr>
              <w:widowControl/>
              <w:spacing w:line="360" w:lineRule="auto"/>
              <w:jc w:val="left"/>
              <w:rPr>
                <w:rFonts w:hint="eastAsia" w:ascii="仿宋" w:hAnsi="仿宋" w:eastAsia="仿宋"/>
                <w:sz w:val="24"/>
                <w:szCs w:val="28"/>
              </w:rPr>
            </w:pPr>
          </w:p>
        </w:tc>
        <w:tc>
          <w:tcPr>
            <w:tcW w:w="981" w:type="dxa"/>
            <w:tcBorders>
              <w:top w:val="nil"/>
              <w:left w:val="nil"/>
              <w:bottom w:val="single" w:color="auto" w:sz="4" w:space="0"/>
              <w:right w:val="single" w:color="auto" w:sz="4" w:space="0"/>
            </w:tcBorders>
            <w:shd w:val="clear" w:color="auto" w:fill="auto"/>
            <w:vAlign w:val="center"/>
          </w:tcPr>
          <w:p w14:paraId="0BECAFE0">
            <w:pPr>
              <w:widowControl/>
              <w:spacing w:line="360" w:lineRule="auto"/>
              <w:jc w:val="left"/>
              <w:rPr>
                <w:rFonts w:hint="eastAsia" w:ascii="仿宋" w:hAnsi="仿宋" w:eastAsia="仿宋"/>
                <w:sz w:val="24"/>
                <w:szCs w:val="28"/>
              </w:rPr>
            </w:pPr>
            <w:r>
              <w:rPr>
                <w:rFonts w:hint="eastAsia" w:ascii="仿宋" w:hAnsi="仿宋" w:eastAsia="仿宋"/>
                <w:sz w:val="24"/>
                <w:szCs w:val="28"/>
              </w:rPr>
              <w:t>4. 培训方案</w:t>
            </w:r>
          </w:p>
        </w:tc>
        <w:tc>
          <w:tcPr>
            <w:tcW w:w="877" w:type="dxa"/>
            <w:tcBorders>
              <w:top w:val="nil"/>
              <w:left w:val="nil"/>
              <w:bottom w:val="single" w:color="auto" w:sz="4" w:space="0"/>
              <w:right w:val="single" w:color="auto" w:sz="4" w:space="0"/>
            </w:tcBorders>
            <w:shd w:val="clear" w:color="auto" w:fill="auto"/>
            <w:vAlign w:val="center"/>
          </w:tcPr>
          <w:p w14:paraId="1223E6D7">
            <w:pPr>
              <w:widowControl/>
              <w:spacing w:line="360" w:lineRule="auto"/>
              <w:jc w:val="left"/>
              <w:rPr>
                <w:rFonts w:hint="eastAsia" w:ascii="仿宋" w:hAnsi="仿宋" w:eastAsia="仿宋"/>
                <w:sz w:val="24"/>
                <w:szCs w:val="28"/>
              </w:rPr>
            </w:pPr>
            <w:r>
              <w:rPr>
                <w:rFonts w:hint="eastAsia" w:ascii="仿宋" w:hAnsi="仿宋" w:eastAsia="仿宋"/>
                <w:sz w:val="24"/>
                <w:szCs w:val="28"/>
              </w:rPr>
              <w:t>5</w:t>
            </w:r>
          </w:p>
        </w:tc>
        <w:tc>
          <w:tcPr>
            <w:tcW w:w="5032" w:type="dxa"/>
            <w:tcBorders>
              <w:top w:val="nil"/>
              <w:left w:val="nil"/>
              <w:bottom w:val="single" w:color="auto" w:sz="4" w:space="0"/>
              <w:right w:val="single" w:color="auto" w:sz="4" w:space="0"/>
            </w:tcBorders>
            <w:shd w:val="clear" w:color="auto" w:fill="auto"/>
            <w:vAlign w:val="center"/>
          </w:tcPr>
          <w:p w14:paraId="065B7E01">
            <w:pPr>
              <w:widowControl/>
              <w:spacing w:line="360" w:lineRule="auto"/>
              <w:jc w:val="left"/>
              <w:rPr>
                <w:rFonts w:hint="eastAsia" w:ascii="仿宋" w:hAnsi="仿宋" w:eastAsia="仿宋"/>
                <w:sz w:val="24"/>
                <w:szCs w:val="28"/>
              </w:rPr>
            </w:pPr>
            <w:r>
              <w:rPr>
                <w:rFonts w:hint="eastAsia" w:ascii="仿宋" w:hAnsi="仿宋" w:eastAsia="仿宋"/>
                <w:sz w:val="24"/>
                <w:szCs w:val="28"/>
              </w:rPr>
              <w:t>① 培训内容覆盖设备日常巡查、数据查看、报警处置全流程，且明确培训时长≥1小时的，得3分；</w:t>
            </w:r>
            <w:r>
              <w:rPr>
                <w:rFonts w:hint="eastAsia" w:ascii="仿宋" w:hAnsi="仿宋" w:eastAsia="仿宋"/>
                <w:sz w:val="24"/>
                <w:szCs w:val="28"/>
              </w:rPr>
              <w:br w:type="textWrapping"/>
            </w:r>
            <w:r>
              <w:rPr>
                <w:rFonts w:hint="eastAsia" w:ascii="仿宋" w:hAnsi="仿宋" w:eastAsia="仿宋"/>
                <w:sz w:val="24"/>
                <w:szCs w:val="28"/>
              </w:rPr>
              <w:t>② 提供培训教材（含操作手册、常见问题处理指南）及考核机制的，得2分；未提供不得分。</w:t>
            </w:r>
          </w:p>
        </w:tc>
      </w:tr>
      <w:tr w14:paraId="61BC40E8">
        <w:tblPrEx>
          <w:tblCellMar>
            <w:top w:w="0" w:type="dxa"/>
            <w:left w:w="108" w:type="dxa"/>
            <w:bottom w:w="0" w:type="dxa"/>
            <w:right w:w="108" w:type="dxa"/>
          </w:tblCellMar>
        </w:tblPrEx>
        <w:trPr>
          <w:trHeight w:val="1710" w:hRule="atLeast"/>
        </w:trPr>
        <w:tc>
          <w:tcPr>
            <w:tcW w:w="1327" w:type="dxa"/>
            <w:vMerge w:val="restart"/>
            <w:tcBorders>
              <w:top w:val="nil"/>
              <w:left w:val="single" w:color="auto" w:sz="4" w:space="0"/>
              <w:bottom w:val="single" w:color="000000" w:sz="4" w:space="0"/>
              <w:right w:val="single" w:color="auto" w:sz="4" w:space="0"/>
            </w:tcBorders>
            <w:shd w:val="clear" w:color="auto" w:fill="auto"/>
            <w:vAlign w:val="center"/>
          </w:tcPr>
          <w:p w14:paraId="65CF6B69">
            <w:pPr>
              <w:widowControl/>
              <w:spacing w:line="360" w:lineRule="auto"/>
              <w:jc w:val="left"/>
              <w:rPr>
                <w:rFonts w:hint="eastAsia" w:ascii="仿宋" w:hAnsi="仿宋" w:eastAsia="仿宋"/>
                <w:sz w:val="24"/>
                <w:szCs w:val="28"/>
              </w:rPr>
            </w:pPr>
            <w:r>
              <w:rPr>
                <w:rFonts w:hint="eastAsia" w:ascii="仿宋" w:hAnsi="仿宋" w:eastAsia="仿宋"/>
                <w:sz w:val="24"/>
                <w:szCs w:val="28"/>
              </w:rPr>
              <w:t>三、商务部分（18分）​</w:t>
            </w:r>
          </w:p>
        </w:tc>
        <w:tc>
          <w:tcPr>
            <w:tcW w:w="981" w:type="dxa"/>
            <w:tcBorders>
              <w:top w:val="nil"/>
              <w:left w:val="nil"/>
              <w:bottom w:val="single" w:color="auto" w:sz="4" w:space="0"/>
              <w:right w:val="single" w:color="auto" w:sz="4" w:space="0"/>
            </w:tcBorders>
            <w:shd w:val="clear" w:color="auto" w:fill="auto"/>
            <w:vAlign w:val="center"/>
          </w:tcPr>
          <w:p w14:paraId="61587F79">
            <w:pPr>
              <w:widowControl/>
              <w:spacing w:line="360" w:lineRule="auto"/>
              <w:jc w:val="left"/>
              <w:rPr>
                <w:rFonts w:hint="eastAsia" w:ascii="仿宋" w:hAnsi="仿宋" w:eastAsia="仿宋"/>
                <w:sz w:val="24"/>
                <w:szCs w:val="28"/>
              </w:rPr>
            </w:pPr>
            <w:r>
              <w:rPr>
                <w:rFonts w:hint="eastAsia" w:ascii="仿宋" w:hAnsi="仿宋" w:eastAsia="仿宋"/>
                <w:sz w:val="24"/>
                <w:szCs w:val="28"/>
              </w:rPr>
              <w:t>1. 资质符合性</w:t>
            </w:r>
          </w:p>
        </w:tc>
        <w:tc>
          <w:tcPr>
            <w:tcW w:w="877" w:type="dxa"/>
            <w:tcBorders>
              <w:top w:val="nil"/>
              <w:left w:val="nil"/>
              <w:bottom w:val="single" w:color="auto" w:sz="4" w:space="0"/>
              <w:right w:val="single" w:color="auto" w:sz="4" w:space="0"/>
            </w:tcBorders>
            <w:shd w:val="clear" w:color="auto" w:fill="auto"/>
            <w:vAlign w:val="center"/>
          </w:tcPr>
          <w:p w14:paraId="1B1F271E">
            <w:pPr>
              <w:widowControl/>
              <w:spacing w:line="360" w:lineRule="auto"/>
              <w:jc w:val="left"/>
              <w:rPr>
                <w:rFonts w:hint="eastAsia" w:ascii="仿宋" w:hAnsi="仿宋" w:eastAsia="仿宋"/>
                <w:sz w:val="24"/>
                <w:szCs w:val="28"/>
              </w:rPr>
            </w:pPr>
            <w:r>
              <w:rPr>
                <w:rFonts w:hint="eastAsia" w:ascii="仿宋" w:hAnsi="仿宋" w:eastAsia="仿宋"/>
                <w:sz w:val="24"/>
                <w:szCs w:val="28"/>
              </w:rPr>
              <w:t>8</w:t>
            </w:r>
          </w:p>
        </w:tc>
        <w:tc>
          <w:tcPr>
            <w:tcW w:w="5032" w:type="dxa"/>
            <w:tcBorders>
              <w:top w:val="nil"/>
              <w:left w:val="nil"/>
              <w:bottom w:val="single" w:color="auto" w:sz="4" w:space="0"/>
              <w:right w:val="single" w:color="auto" w:sz="4" w:space="0"/>
            </w:tcBorders>
            <w:shd w:val="clear" w:color="auto" w:fill="auto"/>
            <w:vAlign w:val="center"/>
          </w:tcPr>
          <w:p w14:paraId="152C5B6E">
            <w:pPr>
              <w:widowControl/>
              <w:spacing w:line="360" w:lineRule="auto"/>
              <w:jc w:val="left"/>
              <w:rPr>
                <w:rFonts w:hint="eastAsia" w:ascii="仿宋" w:hAnsi="仿宋" w:eastAsia="仿宋"/>
                <w:sz w:val="24"/>
                <w:szCs w:val="28"/>
              </w:rPr>
            </w:pPr>
            <w:r>
              <w:rPr>
                <w:rFonts w:hint="eastAsia" w:ascii="仿宋" w:hAnsi="仿宋" w:eastAsia="仿宋"/>
                <w:sz w:val="24"/>
                <w:szCs w:val="28"/>
              </w:rPr>
              <w:t>① 提供有效的消防设施物联网相关资质证明文件的，得3分；</w:t>
            </w:r>
            <w:r>
              <w:rPr>
                <w:rFonts w:hint="eastAsia" w:ascii="仿宋" w:hAnsi="仿宋" w:eastAsia="仿宋"/>
                <w:sz w:val="24"/>
                <w:szCs w:val="28"/>
              </w:rPr>
              <w:br w:type="textWrapping"/>
            </w:r>
            <w:r>
              <w:rPr>
                <w:rFonts w:hint="eastAsia" w:ascii="仿宋" w:hAnsi="仿宋" w:eastAsia="仿宋"/>
                <w:sz w:val="24"/>
                <w:szCs w:val="28"/>
              </w:rPr>
              <w:t>② 提供ISO9001质量管理体系认证（消防</w:t>
            </w:r>
            <w:r>
              <w:rPr>
                <w:rFonts w:hint="eastAsia" w:ascii="仿宋" w:hAnsi="仿宋" w:eastAsia="仿宋"/>
                <w:sz w:val="24"/>
                <w:szCs w:val="28"/>
                <w:lang w:val="en-US" w:eastAsia="zh-CN"/>
              </w:rPr>
              <w:t>设施工程专业承包</w:t>
            </w:r>
            <w:r>
              <w:rPr>
                <w:rFonts w:hint="eastAsia" w:ascii="仿宋" w:hAnsi="仿宋" w:eastAsia="仿宋"/>
                <w:sz w:val="24"/>
                <w:szCs w:val="28"/>
              </w:rPr>
              <w:t>）的，得2分；</w:t>
            </w:r>
            <w:r>
              <w:rPr>
                <w:rFonts w:hint="eastAsia" w:ascii="仿宋" w:hAnsi="仿宋" w:eastAsia="仿宋"/>
                <w:sz w:val="24"/>
                <w:szCs w:val="28"/>
              </w:rPr>
              <w:br w:type="textWrapping"/>
            </w:r>
            <w:r>
              <w:rPr>
                <w:rFonts w:hint="eastAsia" w:ascii="仿宋" w:hAnsi="仿宋" w:eastAsia="仿宋"/>
                <w:sz w:val="24"/>
                <w:szCs w:val="28"/>
              </w:rPr>
              <w:t>③ 所投设备具有3C认证（如适用）或</w:t>
            </w:r>
            <w:r>
              <w:rPr>
                <w:rFonts w:hint="eastAsia" w:ascii="仿宋" w:hAnsi="仿宋" w:eastAsia="仿宋"/>
                <w:sz w:val="24"/>
                <w:szCs w:val="28"/>
                <w:lang w:val="en-US" w:eastAsia="zh-CN"/>
              </w:rPr>
              <w:t>CMA</w:t>
            </w:r>
            <w:r>
              <w:rPr>
                <w:rFonts w:hint="eastAsia" w:ascii="仿宋" w:hAnsi="仿宋" w:eastAsia="仿宋"/>
                <w:sz w:val="24"/>
                <w:szCs w:val="28"/>
              </w:rPr>
              <w:t>检验报告的，每类设备得1分，最高3分（需加盖公章）。</w:t>
            </w:r>
          </w:p>
        </w:tc>
      </w:tr>
      <w:tr w14:paraId="4BCAA29B">
        <w:tblPrEx>
          <w:tblCellMar>
            <w:top w:w="0" w:type="dxa"/>
            <w:left w:w="108" w:type="dxa"/>
            <w:bottom w:w="0" w:type="dxa"/>
            <w:right w:w="108" w:type="dxa"/>
          </w:tblCellMar>
        </w:tblPrEx>
        <w:trPr>
          <w:trHeight w:val="1995" w:hRule="atLeast"/>
        </w:trPr>
        <w:tc>
          <w:tcPr>
            <w:tcW w:w="1327" w:type="dxa"/>
            <w:vMerge w:val="continue"/>
            <w:tcBorders>
              <w:top w:val="nil"/>
              <w:left w:val="single" w:color="auto" w:sz="4" w:space="0"/>
              <w:bottom w:val="single" w:color="000000" w:sz="4" w:space="0"/>
              <w:right w:val="single" w:color="auto" w:sz="4" w:space="0"/>
            </w:tcBorders>
            <w:vAlign w:val="center"/>
          </w:tcPr>
          <w:p w14:paraId="0E12FC18">
            <w:pPr>
              <w:widowControl/>
              <w:spacing w:line="360" w:lineRule="auto"/>
              <w:jc w:val="left"/>
              <w:rPr>
                <w:rFonts w:hint="eastAsia" w:ascii="仿宋" w:hAnsi="仿宋" w:eastAsia="仿宋"/>
                <w:sz w:val="24"/>
                <w:szCs w:val="28"/>
              </w:rPr>
            </w:pPr>
          </w:p>
        </w:tc>
        <w:tc>
          <w:tcPr>
            <w:tcW w:w="981" w:type="dxa"/>
            <w:tcBorders>
              <w:top w:val="nil"/>
              <w:left w:val="nil"/>
              <w:bottom w:val="single" w:color="auto" w:sz="4" w:space="0"/>
              <w:right w:val="single" w:color="auto" w:sz="4" w:space="0"/>
            </w:tcBorders>
            <w:shd w:val="clear" w:color="auto" w:fill="auto"/>
            <w:vAlign w:val="center"/>
          </w:tcPr>
          <w:p w14:paraId="095DE935">
            <w:pPr>
              <w:widowControl/>
              <w:spacing w:line="360" w:lineRule="auto"/>
              <w:jc w:val="left"/>
              <w:rPr>
                <w:rFonts w:hint="eastAsia" w:ascii="仿宋" w:hAnsi="仿宋" w:eastAsia="仿宋"/>
                <w:sz w:val="24"/>
                <w:szCs w:val="28"/>
              </w:rPr>
            </w:pPr>
            <w:r>
              <w:rPr>
                <w:rFonts w:hint="eastAsia" w:ascii="仿宋" w:hAnsi="仿宋" w:eastAsia="仿宋"/>
                <w:sz w:val="24"/>
                <w:szCs w:val="28"/>
              </w:rPr>
              <w:t>2. 同类项目业绩</w:t>
            </w:r>
          </w:p>
        </w:tc>
        <w:tc>
          <w:tcPr>
            <w:tcW w:w="877" w:type="dxa"/>
            <w:tcBorders>
              <w:top w:val="nil"/>
              <w:left w:val="nil"/>
              <w:bottom w:val="single" w:color="auto" w:sz="4" w:space="0"/>
              <w:right w:val="single" w:color="auto" w:sz="4" w:space="0"/>
            </w:tcBorders>
            <w:shd w:val="clear" w:color="auto" w:fill="auto"/>
            <w:vAlign w:val="center"/>
          </w:tcPr>
          <w:p w14:paraId="72C84A7A">
            <w:pPr>
              <w:widowControl/>
              <w:spacing w:line="360" w:lineRule="auto"/>
              <w:jc w:val="left"/>
              <w:rPr>
                <w:rFonts w:hint="eastAsia" w:ascii="仿宋" w:hAnsi="仿宋" w:eastAsia="仿宋"/>
                <w:sz w:val="24"/>
                <w:szCs w:val="28"/>
              </w:rPr>
            </w:pPr>
            <w:r>
              <w:rPr>
                <w:rFonts w:hint="eastAsia" w:ascii="仿宋" w:hAnsi="仿宋" w:eastAsia="仿宋"/>
                <w:sz w:val="24"/>
                <w:szCs w:val="28"/>
              </w:rPr>
              <w:t>10</w:t>
            </w:r>
          </w:p>
        </w:tc>
        <w:tc>
          <w:tcPr>
            <w:tcW w:w="5032" w:type="dxa"/>
            <w:tcBorders>
              <w:top w:val="nil"/>
              <w:left w:val="nil"/>
              <w:bottom w:val="single" w:color="auto" w:sz="4" w:space="0"/>
              <w:right w:val="single" w:color="auto" w:sz="4" w:space="0"/>
            </w:tcBorders>
            <w:shd w:val="clear" w:color="auto" w:fill="auto"/>
            <w:vAlign w:val="center"/>
          </w:tcPr>
          <w:p w14:paraId="08DE1B51">
            <w:pPr>
              <w:widowControl/>
              <w:spacing w:line="360" w:lineRule="auto"/>
              <w:jc w:val="left"/>
              <w:rPr>
                <w:rFonts w:hint="eastAsia" w:ascii="仿宋" w:hAnsi="仿宋" w:eastAsia="仿宋"/>
                <w:sz w:val="24"/>
                <w:szCs w:val="28"/>
              </w:rPr>
            </w:pPr>
            <w:r>
              <w:rPr>
                <w:rFonts w:hint="eastAsia" w:ascii="仿宋" w:hAnsi="仿宋" w:eastAsia="仿宋"/>
                <w:sz w:val="24"/>
                <w:szCs w:val="28"/>
              </w:rPr>
              <w:t>近三年（2023年</w:t>
            </w:r>
            <w:r>
              <w:rPr>
                <w:rFonts w:hint="eastAsia" w:ascii="仿宋" w:hAnsi="仿宋" w:eastAsia="仿宋"/>
                <w:sz w:val="24"/>
                <w:szCs w:val="28"/>
                <w:lang w:val="en-US" w:eastAsia="zh-CN"/>
              </w:rPr>
              <w:t>8</w:t>
            </w:r>
            <w:r>
              <w:rPr>
                <w:rFonts w:hint="eastAsia" w:ascii="仿宋" w:hAnsi="仿宋" w:eastAsia="仿宋"/>
                <w:sz w:val="24"/>
                <w:szCs w:val="28"/>
              </w:rPr>
              <w:t>月</w:t>
            </w:r>
            <w:r>
              <w:rPr>
                <w:rFonts w:hint="eastAsia" w:ascii="仿宋" w:hAnsi="仿宋" w:eastAsia="仿宋"/>
                <w:sz w:val="24"/>
                <w:szCs w:val="28"/>
                <w:lang w:val="en-US" w:eastAsia="zh-CN"/>
              </w:rPr>
              <w:t>1日</w:t>
            </w:r>
            <w:r>
              <w:rPr>
                <w:rFonts w:hint="eastAsia" w:ascii="仿宋" w:hAnsi="仿宋" w:eastAsia="仿宋"/>
                <w:sz w:val="24"/>
                <w:szCs w:val="28"/>
              </w:rPr>
              <w:t>至今）具有消防设施物联网类项目业绩（需提供合同复印件，含合同首页、</w:t>
            </w:r>
            <w:r>
              <w:rPr>
                <w:rFonts w:hint="eastAsia" w:ascii="仿宋" w:hAnsi="仿宋" w:eastAsia="仿宋"/>
                <w:sz w:val="24"/>
                <w:szCs w:val="28"/>
                <w:lang w:val="en-US" w:eastAsia="zh-CN"/>
              </w:rPr>
              <w:t>项目内容、</w:t>
            </w:r>
            <w:r>
              <w:rPr>
                <w:rFonts w:hint="eastAsia" w:ascii="仿宋" w:hAnsi="仿宋" w:eastAsia="仿宋"/>
                <w:sz w:val="24"/>
                <w:szCs w:val="28"/>
              </w:rPr>
              <w:t>签字盖章页）：</w:t>
            </w:r>
            <w:r>
              <w:rPr>
                <w:rFonts w:hint="eastAsia" w:ascii="仿宋" w:hAnsi="仿宋" w:eastAsia="仿宋"/>
                <w:sz w:val="24"/>
                <w:szCs w:val="28"/>
              </w:rPr>
              <w:br w:type="textWrapping"/>
            </w:r>
            <w:r>
              <w:rPr>
                <w:rFonts w:hint="eastAsia" w:ascii="仿宋" w:hAnsi="仿宋" w:eastAsia="仿宋"/>
                <w:sz w:val="24"/>
                <w:szCs w:val="28"/>
              </w:rPr>
              <w:t>① 每提供1份合同金额≥3万元的业绩得2分，最高6分；</w:t>
            </w:r>
            <w:r>
              <w:rPr>
                <w:rFonts w:hint="eastAsia" w:ascii="仿宋" w:hAnsi="仿宋" w:eastAsia="仿宋"/>
                <w:sz w:val="24"/>
                <w:szCs w:val="28"/>
              </w:rPr>
              <w:br w:type="textWrapping"/>
            </w:r>
            <w:r>
              <w:rPr>
                <w:rFonts w:hint="eastAsia" w:ascii="仿宋" w:hAnsi="仿宋" w:eastAsia="仿宋"/>
                <w:sz w:val="24"/>
                <w:szCs w:val="28"/>
              </w:rPr>
              <w:t>② 其中至少有1份为</w:t>
            </w:r>
            <w:r>
              <w:rPr>
                <w:rFonts w:hint="eastAsia" w:ascii="仿宋" w:hAnsi="仿宋" w:eastAsia="仿宋"/>
                <w:sz w:val="24"/>
                <w:szCs w:val="28"/>
                <w:lang w:val="en-US" w:eastAsia="zh-CN"/>
              </w:rPr>
              <w:t>事业单位或者</w:t>
            </w:r>
            <w:r>
              <w:rPr>
                <w:rFonts w:hint="eastAsia" w:ascii="仿宋" w:hAnsi="仿宋" w:eastAsia="仿宋"/>
                <w:sz w:val="24"/>
                <w:szCs w:val="28"/>
              </w:rPr>
              <w:t>教育系统消防物联网项目业绩的加4分；</w:t>
            </w:r>
            <w:r>
              <w:rPr>
                <w:rFonts w:hint="eastAsia" w:ascii="仿宋" w:hAnsi="仿宋" w:eastAsia="仿宋"/>
                <w:sz w:val="24"/>
                <w:szCs w:val="28"/>
              </w:rPr>
              <w:br w:type="textWrapping"/>
            </w:r>
            <w:r>
              <w:rPr>
                <w:rFonts w:hint="eastAsia" w:ascii="仿宋" w:hAnsi="仿宋" w:eastAsia="仿宋"/>
                <w:sz w:val="24"/>
                <w:szCs w:val="28"/>
              </w:rPr>
              <w:t>（注：业绩需真实有效，伪造合同无效）</w:t>
            </w:r>
          </w:p>
        </w:tc>
      </w:tr>
      <w:tr w14:paraId="523BAFFA">
        <w:tblPrEx>
          <w:tblCellMar>
            <w:top w:w="0" w:type="dxa"/>
            <w:left w:w="108" w:type="dxa"/>
            <w:bottom w:w="0" w:type="dxa"/>
            <w:right w:w="108" w:type="dxa"/>
          </w:tblCellMar>
        </w:tblPrEx>
        <w:trPr>
          <w:trHeight w:val="1425" w:hRule="atLeast"/>
        </w:trPr>
        <w:tc>
          <w:tcPr>
            <w:tcW w:w="1327" w:type="dxa"/>
            <w:vMerge w:val="restart"/>
            <w:tcBorders>
              <w:top w:val="nil"/>
              <w:left w:val="single" w:color="auto" w:sz="4" w:space="0"/>
              <w:bottom w:val="single" w:color="000000" w:sz="4" w:space="0"/>
              <w:right w:val="single" w:color="auto" w:sz="4" w:space="0"/>
            </w:tcBorders>
            <w:shd w:val="clear" w:color="auto" w:fill="auto"/>
            <w:vAlign w:val="center"/>
          </w:tcPr>
          <w:p w14:paraId="37CCE648">
            <w:pPr>
              <w:widowControl/>
              <w:spacing w:line="360" w:lineRule="auto"/>
              <w:jc w:val="left"/>
              <w:rPr>
                <w:rFonts w:hint="eastAsia" w:ascii="仿宋" w:hAnsi="仿宋" w:eastAsia="仿宋"/>
                <w:sz w:val="24"/>
                <w:szCs w:val="28"/>
              </w:rPr>
            </w:pPr>
            <w:r>
              <w:rPr>
                <w:rFonts w:hint="eastAsia" w:ascii="仿宋" w:hAnsi="仿宋" w:eastAsia="仿宋"/>
                <w:sz w:val="24"/>
                <w:szCs w:val="28"/>
              </w:rPr>
              <w:t>四、服务部分（12分）​</w:t>
            </w:r>
          </w:p>
        </w:tc>
        <w:tc>
          <w:tcPr>
            <w:tcW w:w="981" w:type="dxa"/>
            <w:tcBorders>
              <w:top w:val="nil"/>
              <w:left w:val="nil"/>
              <w:bottom w:val="single" w:color="auto" w:sz="4" w:space="0"/>
              <w:right w:val="single" w:color="auto" w:sz="4" w:space="0"/>
            </w:tcBorders>
            <w:shd w:val="clear" w:color="auto" w:fill="auto"/>
            <w:vAlign w:val="center"/>
          </w:tcPr>
          <w:p w14:paraId="4AAB270E">
            <w:pPr>
              <w:widowControl/>
              <w:spacing w:line="360" w:lineRule="auto"/>
              <w:jc w:val="left"/>
              <w:rPr>
                <w:rFonts w:hint="eastAsia" w:ascii="仿宋" w:hAnsi="仿宋" w:eastAsia="仿宋"/>
                <w:sz w:val="24"/>
                <w:szCs w:val="28"/>
              </w:rPr>
            </w:pPr>
            <w:r>
              <w:rPr>
                <w:rFonts w:hint="eastAsia" w:ascii="仿宋" w:hAnsi="仿宋" w:eastAsia="仿宋"/>
                <w:sz w:val="24"/>
                <w:szCs w:val="28"/>
              </w:rPr>
              <w:t>1. 质保与售后服务</w:t>
            </w:r>
          </w:p>
        </w:tc>
        <w:tc>
          <w:tcPr>
            <w:tcW w:w="877" w:type="dxa"/>
            <w:tcBorders>
              <w:top w:val="nil"/>
              <w:left w:val="nil"/>
              <w:bottom w:val="single" w:color="auto" w:sz="4" w:space="0"/>
              <w:right w:val="single" w:color="auto" w:sz="4" w:space="0"/>
            </w:tcBorders>
            <w:shd w:val="clear" w:color="auto" w:fill="auto"/>
            <w:vAlign w:val="center"/>
          </w:tcPr>
          <w:p w14:paraId="23062831">
            <w:pPr>
              <w:widowControl/>
              <w:spacing w:line="360" w:lineRule="auto"/>
              <w:jc w:val="left"/>
              <w:rPr>
                <w:rFonts w:hint="eastAsia" w:ascii="仿宋" w:hAnsi="仿宋" w:eastAsia="仿宋"/>
                <w:sz w:val="24"/>
                <w:szCs w:val="28"/>
              </w:rPr>
            </w:pPr>
            <w:r>
              <w:rPr>
                <w:rFonts w:hint="eastAsia" w:ascii="仿宋" w:hAnsi="仿宋" w:eastAsia="仿宋"/>
                <w:sz w:val="24"/>
                <w:szCs w:val="28"/>
              </w:rPr>
              <w:t>10</w:t>
            </w:r>
          </w:p>
        </w:tc>
        <w:tc>
          <w:tcPr>
            <w:tcW w:w="5032" w:type="dxa"/>
            <w:tcBorders>
              <w:top w:val="nil"/>
              <w:left w:val="nil"/>
              <w:bottom w:val="single" w:color="auto" w:sz="4" w:space="0"/>
              <w:right w:val="single" w:color="auto" w:sz="4" w:space="0"/>
            </w:tcBorders>
            <w:shd w:val="clear" w:color="auto" w:fill="auto"/>
            <w:vAlign w:val="center"/>
          </w:tcPr>
          <w:p w14:paraId="3E40AD0D">
            <w:pPr>
              <w:widowControl/>
              <w:spacing w:line="360" w:lineRule="auto"/>
              <w:jc w:val="left"/>
              <w:rPr>
                <w:rFonts w:hint="eastAsia" w:ascii="仿宋" w:hAnsi="仿宋" w:eastAsia="仿宋"/>
                <w:sz w:val="24"/>
                <w:szCs w:val="28"/>
              </w:rPr>
            </w:pPr>
            <w:r>
              <w:rPr>
                <w:rFonts w:hint="eastAsia" w:ascii="仿宋" w:hAnsi="仿宋" w:eastAsia="仿宋"/>
                <w:sz w:val="24"/>
                <w:szCs w:val="28"/>
              </w:rPr>
              <w:t>① 基础服务：满足“质保期1年、2小时响应、24小时到场”要求的，得5分；</w:t>
            </w:r>
            <w:r>
              <w:rPr>
                <w:rFonts w:hint="eastAsia" w:ascii="仿宋" w:hAnsi="仿宋" w:eastAsia="仿宋"/>
                <w:sz w:val="24"/>
                <w:szCs w:val="28"/>
              </w:rPr>
              <w:br w:type="textWrapping"/>
            </w:r>
            <w:r>
              <w:rPr>
                <w:rFonts w:hint="eastAsia" w:ascii="仿宋" w:hAnsi="仿宋" w:eastAsia="仿宋"/>
                <w:sz w:val="24"/>
                <w:szCs w:val="28"/>
              </w:rPr>
              <w:t>② 增值服务：承诺质保期延长至2年的，加2分；提供7×24小时技术支持且明确季度回访机制的，得2分；</w:t>
            </w:r>
            <w:r>
              <w:rPr>
                <w:rFonts w:hint="eastAsia" w:ascii="仿宋" w:hAnsi="仿宋" w:eastAsia="仿宋"/>
                <w:sz w:val="24"/>
                <w:szCs w:val="28"/>
              </w:rPr>
              <w:br w:type="textWrapping"/>
            </w:r>
            <w:r>
              <w:rPr>
                <w:rFonts w:hint="eastAsia" w:ascii="仿宋" w:hAnsi="仿宋" w:eastAsia="仿宋"/>
                <w:sz w:val="24"/>
                <w:szCs w:val="28"/>
              </w:rPr>
              <w:t>③ 终身维护承诺及软件免费升级方案具体可行的，得1分。</w:t>
            </w:r>
          </w:p>
        </w:tc>
      </w:tr>
      <w:tr w14:paraId="33904F50">
        <w:tblPrEx>
          <w:tblCellMar>
            <w:top w:w="0" w:type="dxa"/>
            <w:left w:w="108" w:type="dxa"/>
            <w:bottom w:w="0" w:type="dxa"/>
            <w:right w:w="108" w:type="dxa"/>
          </w:tblCellMar>
        </w:tblPrEx>
        <w:trPr>
          <w:trHeight w:val="570" w:hRule="atLeast"/>
        </w:trPr>
        <w:tc>
          <w:tcPr>
            <w:tcW w:w="1327" w:type="dxa"/>
            <w:vMerge w:val="continue"/>
            <w:tcBorders>
              <w:top w:val="nil"/>
              <w:left w:val="single" w:color="auto" w:sz="4" w:space="0"/>
              <w:bottom w:val="single" w:color="000000" w:sz="4" w:space="0"/>
              <w:right w:val="single" w:color="auto" w:sz="4" w:space="0"/>
            </w:tcBorders>
            <w:vAlign w:val="center"/>
          </w:tcPr>
          <w:p w14:paraId="56DAE502">
            <w:pPr>
              <w:widowControl/>
              <w:spacing w:line="360" w:lineRule="auto"/>
              <w:jc w:val="left"/>
              <w:rPr>
                <w:rFonts w:hint="eastAsia" w:ascii="仿宋" w:hAnsi="仿宋" w:eastAsia="仿宋"/>
                <w:sz w:val="24"/>
                <w:szCs w:val="28"/>
              </w:rPr>
            </w:pPr>
          </w:p>
        </w:tc>
        <w:tc>
          <w:tcPr>
            <w:tcW w:w="981" w:type="dxa"/>
            <w:tcBorders>
              <w:top w:val="nil"/>
              <w:left w:val="nil"/>
              <w:bottom w:val="single" w:color="auto" w:sz="4" w:space="0"/>
              <w:right w:val="single" w:color="auto" w:sz="4" w:space="0"/>
            </w:tcBorders>
            <w:shd w:val="clear" w:color="auto" w:fill="auto"/>
            <w:vAlign w:val="center"/>
          </w:tcPr>
          <w:p w14:paraId="269059BE">
            <w:pPr>
              <w:widowControl/>
              <w:spacing w:line="360" w:lineRule="auto"/>
              <w:jc w:val="left"/>
              <w:rPr>
                <w:rFonts w:hint="eastAsia" w:ascii="仿宋" w:hAnsi="仿宋" w:eastAsia="仿宋"/>
                <w:sz w:val="24"/>
                <w:szCs w:val="28"/>
              </w:rPr>
            </w:pPr>
            <w:r>
              <w:rPr>
                <w:rFonts w:hint="eastAsia" w:ascii="仿宋" w:hAnsi="仿宋" w:eastAsia="仿宋"/>
                <w:sz w:val="24"/>
                <w:szCs w:val="28"/>
              </w:rPr>
              <w:t>2. 应急响应</w:t>
            </w:r>
          </w:p>
        </w:tc>
        <w:tc>
          <w:tcPr>
            <w:tcW w:w="877" w:type="dxa"/>
            <w:tcBorders>
              <w:top w:val="nil"/>
              <w:left w:val="nil"/>
              <w:bottom w:val="single" w:color="auto" w:sz="4" w:space="0"/>
              <w:right w:val="single" w:color="auto" w:sz="4" w:space="0"/>
            </w:tcBorders>
            <w:shd w:val="clear" w:color="auto" w:fill="auto"/>
            <w:vAlign w:val="center"/>
          </w:tcPr>
          <w:p w14:paraId="0ACF839A">
            <w:pPr>
              <w:widowControl/>
              <w:spacing w:line="360" w:lineRule="auto"/>
              <w:jc w:val="left"/>
              <w:rPr>
                <w:rFonts w:hint="eastAsia" w:ascii="仿宋" w:hAnsi="仿宋" w:eastAsia="仿宋"/>
                <w:sz w:val="24"/>
                <w:szCs w:val="28"/>
              </w:rPr>
            </w:pPr>
            <w:r>
              <w:rPr>
                <w:rFonts w:hint="eastAsia" w:ascii="仿宋" w:hAnsi="仿宋" w:eastAsia="仿宋"/>
                <w:sz w:val="24"/>
                <w:szCs w:val="28"/>
              </w:rPr>
              <w:t>2</w:t>
            </w:r>
          </w:p>
        </w:tc>
        <w:tc>
          <w:tcPr>
            <w:tcW w:w="5032" w:type="dxa"/>
            <w:tcBorders>
              <w:top w:val="nil"/>
              <w:left w:val="nil"/>
              <w:bottom w:val="single" w:color="auto" w:sz="4" w:space="0"/>
              <w:right w:val="single" w:color="auto" w:sz="4" w:space="0"/>
            </w:tcBorders>
            <w:shd w:val="clear" w:color="auto" w:fill="auto"/>
            <w:vAlign w:val="center"/>
          </w:tcPr>
          <w:p w14:paraId="55F8598D">
            <w:pPr>
              <w:widowControl/>
              <w:spacing w:line="360" w:lineRule="auto"/>
              <w:jc w:val="left"/>
              <w:rPr>
                <w:rFonts w:hint="eastAsia" w:ascii="仿宋" w:hAnsi="仿宋" w:eastAsia="仿宋"/>
                <w:sz w:val="24"/>
                <w:szCs w:val="28"/>
              </w:rPr>
            </w:pPr>
            <w:r>
              <w:rPr>
                <w:rFonts w:hint="eastAsia" w:ascii="仿宋" w:hAnsi="仿宋" w:eastAsia="仿宋"/>
                <w:sz w:val="24"/>
                <w:szCs w:val="28"/>
              </w:rPr>
              <w:t>针对设备故障导致消防数据中断的情况，承诺提供备用设备临时替换（48小时内到位）的，得2分；未提供不得分。</w:t>
            </w:r>
          </w:p>
        </w:tc>
      </w:tr>
    </w:tbl>
    <w:p w14:paraId="302336CA">
      <w:pPr>
        <w:widowControl/>
        <w:spacing w:line="360" w:lineRule="auto"/>
        <w:jc w:val="left"/>
        <w:rPr>
          <w:rFonts w:hint="eastAsia" w:ascii="仿宋" w:hAnsi="仿宋" w:eastAsia="仿宋"/>
          <w:sz w:val="24"/>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872714"/>
    <w:multiLevelType w:val="multilevel"/>
    <w:tmpl w:val="3D872714"/>
    <w:lvl w:ilvl="0" w:tentative="0">
      <w:start w:val="1"/>
      <w:numFmt w:val="decimal"/>
      <w:lvlText w:val="%1"/>
      <w:lvlJc w:val="left"/>
      <w:pPr>
        <w:tabs>
          <w:tab w:val="left" w:pos="929"/>
        </w:tabs>
        <w:ind w:left="929" w:hanging="480"/>
      </w:pPr>
    </w:lvl>
    <w:lvl w:ilvl="1" w:tentative="0">
      <w:start w:val="1"/>
      <w:numFmt w:val="lowerLetter"/>
      <w:lvlText w:val="%2)"/>
      <w:lvlJc w:val="left"/>
      <w:pPr>
        <w:tabs>
          <w:tab w:val="left" w:pos="1289"/>
        </w:tabs>
        <w:ind w:left="1289" w:hanging="420"/>
      </w:pPr>
    </w:lvl>
    <w:lvl w:ilvl="2" w:tentative="0">
      <w:start w:val="1"/>
      <w:numFmt w:val="lowerRoman"/>
      <w:lvlText w:val="%3."/>
      <w:lvlJc w:val="right"/>
      <w:pPr>
        <w:tabs>
          <w:tab w:val="left" w:pos="1709"/>
        </w:tabs>
        <w:ind w:left="1709" w:hanging="420"/>
      </w:pPr>
    </w:lvl>
    <w:lvl w:ilvl="3" w:tentative="0">
      <w:start w:val="1"/>
      <w:numFmt w:val="decimal"/>
      <w:lvlText w:val="%4."/>
      <w:lvlJc w:val="left"/>
      <w:pPr>
        <w:tabs>
          <w:tab w:val="left" w:pos="2129"/>
        </w:tabs>
        <w:ind w:left="2129" w:hanging="420"/>
      </w:pPr>
    </w:lvl>
    <w:lvl w:ilvl="4" w:tentative="0">
      <w:start w:val="1"/>
      <w:numFmt w:val="lowerLetter"/>
      <w:lvlText w:val="%5)"/>
      <w:lvlJc w:val="left"/>
      <w:pPr>
        <w:tabs>
          <w:tab w:val="left" w:pos="2549"/>
        </w:tabs>
        <w:ind w:left="2549" w:hanging="420"/>
      </w:pPr>
    </w:lvl>
    <w:lvl w:ilvl="5" w:tentative="0">
      <w:start w:val="1"/>
      <w:numFmt w:val="lowerRoman"/>
      <w:lvlText w:val="%6."/>
      <w:lvlJc w:val="right"/>
      <w:pPr>
        <w:tabs>
          <w:tab w:val="left" w:pos="2969"/>
        </w:tabs>
        <w:ind w:left="2969" w:hanging="420"/>
      </w:pPr>
    </w:lvl>
    <w:lvl w:ilvl="6" w:tentative="0">
      <w:start w:val="1"/>
      <w:numFmt w:val="decimal"/>
      <w:lvlText w:val="%7."/>
      <w:lvlJc w:val="left"/>
      <w:pPr>
        <w:tabs>
          <w:tab w:val="left" w:pos="3389"/>
        </w:tabs>
        <w:ind w:left="3389" w:hanging="420"/>
      </w:pPr>
    </w:lvl>
    <w:lvl w:ilvl="7" w:tentative="0">
      <w:start w:val="1"/>
      <w:numFmt w:val="lowerLetter"/>
      <w:lvlText w:val="%8)"/>
      <w:lvlJc w:val="left"/>
      <w:pPr>
        <w:tabs>
          <w:tab w:val="left" w:pos="3809"/>
        </w:tabs>
        <w:ind w:left="3809" w:hanging="420"/>
      </w:pPr>
    </w:lvl>
    <w:lvl w:ilvl="8" w:tentative="0">
      <w:start w:val="1"/>
      <w:numFmt w:val="lowerRoman"/>
      <w:lvlText w:val="%9."/>
      <w:lvlJc w:val="right"/>
      <w:pPr>
        <w:tabs>
          <w:tab w:val="left" w:pos="4229"/>
        </w:tabs>
        <w:ind w:left="4229" w:hanging="420"/>
      </w:pPr>
    </w:lvl>
  </w:abstractNum>
  <w:abstractNum w:abstractNumId="1">
    <w:nsid w:val="61862777"/>
    <w:multiLevelType w:val="multilevel"/>
    <w:tmpl w:val="61862777"/>
    <w:lvl w:ilvl="0" w:tentative="0">
      <w:start w:val="1"/>
      <w:numFmt w:val="decimal"/>
      <w:lvlText w:val="%1)"/>
      <w:lvlJc w:val="left"/>
      <w:pPr>
        <w:tabs>
          <w:tab w:val="left" w:pos="840"/>
        </w:tabs>
        <w:ind w:left="840" w:hanging="420"/>
      </w:pPr>
    </w:lvl>
    <w:lvl w:ilvl="1" w:tentative="0">
      <w:start w:val="1"/>
      <w:numFmt w:val="lowerLetter"/>
      <w:lvlText w:val="%2)"/>
      <w:lvlJc w:val="left"/>
      <w:pPr>
        <w:tabs>
          <w:tab w:val="left" w:pos="780"/>
        </w:tabs>
        <w:ind w:left="780" w:hanging="420"/>
      </w:pPr>
    </w:lvl>
    <w:lvl w:ilvl="2" w:tentative="0">
      <w:start w:val="1"/>
      <w:numFmt w:val="lowerRoman"/>
      <w:lvlText w:val="%3."/>
      <w:lvlJc w:val="right"/>
      <w:pPr>
        <w:tabs>
          <w:tab w:val="left" w:pos="1200"/>
        </w:tabs>
        <w:ind w:left="1200" w:hanging="420"/>
      </w:pPr>
    </w:lvl>
    <w:lvl w:ilvl="3" w:tentative="0">
      <w:start w:val="1"/>
      <w:numFmt w:val="decimal"/>
      <w:lvlText w:val="%4."/>
      <w:lvlJc w:val="left"/>
      <w:pPr>
        <w:tabs>
          <w:tab w:val="left" w:pos="1620"/>
        </w:tabs>
        <w:ind w:left="1620" w:hanging="420"/>
      </w:pPr>
    </w:lvl>
    <w:lvl w:ilvl="4" w:tentative="0">
      <w:start w:val="1"/>
      <w:numFmt w:val="lowerLetter"/>
      <w:lvlText w:val="%5)"/>
      <w:lvlJc w:val="left"/>
      <w:pPr>
        <w:tabs>
          <w:tab w:val="left" w:pos="2040"/>
        </w:tabs>
        <w:ind w:left="2040" w:hanging="420"/>
      </w:pPr>
    </w:lvl>
    <w:lvl w:ilvl="5" w:tentative="0">
      <w:start w:val="1"/>
      <w:numFmt w:val="lowerRoman"/>
      <w:lvlText w:val="%6."/>
      <w:lvlJc w:val="right"/>
      <w:pPr>
        <w:tabs>
          <w:tab w:val="left" w:pos="2460"/>
        </w:tabs>
        <w:ind w:left="2460" w:hanging="420"/>
      </w:pPr>
    </w:lvl>
    <w:lvl w:ilvl="6" w:tentative="0">
      <w:start w:val="1"/>
      <w:numFmt w:val="decimal"/>
      <w:lvlText w:val="%7."/>
      <w:lvlJc w:val="left"/>
      <w:pPr>
        <w:tabs>
          <w:tab w:val="left" w:pos="2880"/>
        </w:tabs>
        <w:ind w:left="2880" w:hanging="420"/>
      </w:pPr>
    </w:lvl>
    <w:lvl w:ilvl="7" w:tentative="0">
      <w:start w:val="1"/>
      <w:numFmt w:val="lowerLetter"/>
      <w:lvlText w:val="%8)"/>
      <w:lvlJc w:val="left"/>
      <w:pPr>
        <w:tabs>
          <w:tab w:val="left" w:pos="3300"/>
        </w:tabs>
        <w:ind w:left="3300" w:hanging="420"/>
      </w:pPr>
    </w:lvl>
    <w:lvl w:ilvl="8" w:tentative="0">
      <w:start w:val="1"/>
      <w:numFmt w:val="lowerRoman"/>
      <w:lvlText w:val="%9."/>
      <w:lvlJc w:val="right"/>
      <w:pPr>
        <w:tabs>
          <w:tab w:val="left" w:pos="3720"/>
        </w:tabs>
        <w:ind w:left="3720"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74C"/>
    <w:rsid w:val="000F01F7"/>
    <w:rsid w:val="00190166"/>
    <w:rsid w:val="00192128"/>
    <w:rsid w:val="0026774C"/>
    <w:rsid w:val="002E0F71"/>
    <w:rsid w:val="003043AB"/>
    <w:rsid w:val="00306D4C"/>
    <w:rsid w:val="003A489D"/>
    <w:rsid w:val="003B0AC3"/>
    <w:rsid w:val="004655F2"/>
    <w:rsid w:val="00483C5F"/>
    <w:rsid w:val="00531A1D"/>
    <w:rsid w:val="00584CE8"/>
    <w:rsid w:val="00586E83"/>
    <w:rsid w:val="005B4B71"/>
    <w:rsid w:val="006056F4"/>
    <w:rsid w:val="0068770F"/>
    <w:rsid w:val="008626EE"/>
    <w:rsid w:val="008A08BB"/>
    <w:rsid w:val="00A90290"/>
    <w:rsid w:val="00B31167"/>
    <w:rsid w:val="00BB6245"/>
    <w:rsid w:val="00C37FF8"/>
    <w:rsid w:val="00D52E24"/>
    <w:rsid w:val="076350CF"/>
    <w:rsid w:val="0DEF32DD"/>
    <w:rsid w:val="102B2FE7"/>
    <w:rsid w:val="14EB1A29"/>
    <w:rsid w:val="1DDC2BB3"/>
    <w:rsid w:val="20951E81"/>
    <w:rsid w:val="23962FBE"/>
    <w:rsid w:val="32597970"/>
    <w:rsid w:val="36C15EDE"/>
    <w:rsid w:val="38EF6FF9"/>
    <w:rsid w:val="3A18441B"/>
    <w:rsid w:val="48707C72"/>
    <w:rsid w:val="49A73B7E"/>
    <w:rsid w:val="4A8C350F"/>
    <w:rsid w:val="4CC0522E"/>
    <w:rsid w:val="4E6C139F"/>
    <w:rsid w:val="54B92B9F"/>
    <w:rsid w:val="57151036"/>
    <w:rsid w:val="64170831"/>
    <w:rsid w:val="6C844501"/>
    <w:rsid w:val="6DC32345"/>
    <w:rsid w:val="78F9288B"/>
    <w:rsid w:val="7C0C77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0"/>
    <w:pPr>
      <w:ind w:left="720"/>
      <w:contextualSpacing/>
    </w:p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4558</Words>
  <Characters>4817</Characters>
  <Lines>36</Lines>
  <Paragraphs>10</Paragraphs>
  <TotalTime>9</TotalTime>
  <ScaleCrop>false</ScaleCrop>
  <LinksUpToDate>false</LinksUpToDate>
  <CharactersWithSpaces>5097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2025-09-18T06:19:00Z</dcterms:created>
  <dc:creator>佳靓 钱</dc:creator>
  <cp:lastModifiedBy>KK</cp:lastModifiedBy>
  <dcterms:modified xsi:type="dcterms:W3CDTF">2026-10-08T00:23:45Z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eyJoZGlkIjoiMmE0Njc2MjM1ODRkODNkOGM1ZDBjYTQxYTM0MWFiMWEiLCJ1c2VySWQiOiI0MzM5ODA5NTEifQ==</vt:lpwstr>
  </property>
  <property fmtid="{D5CDD505-2E9C-101B-9397-08002B2CF9AE}" pid="3" name="KSOProductBuildVer">
    <vt:lpwstr>2052-12.1.0.28505</vt:lpwstr>
  </property>
  <property fmtid="{D5CDD505-2E9C-101B-9397-08002B2CF9AE}" pid="4" name="ICV">
    <vt:lpwstr>DAC0C1DE58F2418FAFFEF2824DFADFD0_13</vt:lpwstr>
  </property>
</Properties>
</file>